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4F592" w14:textId="77777777" w:rsidR="00BD514A" w:rsidRDefault="00BD514A" w:rsidP="00BD514A">
      <w:pPr>
        <w:spacing w:line="240" w:lineRule="auto"/>
        <w:jc w:val="center"/>
        <w:rPr>
          <w:b/>
          <w:sz w:val="72"/>
          <w:szCs w:val="72"/>
        </w:rPr>
      </w:pPr>
    </w:p>
    <w:p w14:paraId="5F48C1FB" w14:textId="77777777" w:rsidR="00BD514A" w:rsidRDefault="00BD514A" w:rsidP="00BD514A">
      <w:pPr>
        <w:spacing w:line="240" w:lineRule="auto"/>
        <w:jc w:val="center"/>
        <w:rPr>
          <w:b/>
          <w:sz w:val="72"/>
          <w:szCs w:val="72"/>
        </w:rPr>
      </w:pPr>
    </w:p>
    <w:p w14:paraId="7F4D7FFD" w14:textId="77777777" w:rsidR="00BD514A" w:rsidRDefault="00BD514A" w:rsidP="00BD514A">
      <w:pPr>
        <w:spacing w:line="240" w:lineRule="auto"/>
        <w:jc w:val="center"/>
        <w:rPr>
          <w:b/>
          <w:sz w:val="72"/>
          <w:szCs w:val="72"/>
        </w:rPr>
      </w:pPr>
    </w:p>
    <w:p w14:paraId="739AC94D" w14:textId="77777777" w:rsidR="00BD514A" w:rsidRDefault="00BD514A" w:rsidP="00BD514A">
      <w:pPr>
        <w:spacing w:line="240" w:lineRule="auto"/>
        <w:jc w:val="center"/>
        <w:rPr>
          <w:b/>
          <w:sz w:val="72"/>
          <w:szCs w:val="72"/>
        </w:rPr>
      </w:pPr>
    </w:p>
    <w:p w14:paraId="17F97372" w14:textId="77777777" w:rsidR="00BD514A" w:rsidRDefault="00BD514A" w:rsidP="00BD514A">
      <w:pPr>
        <w:spacing w:line="240" w:lineRule="auto"/>
        <w:jc w:val="center"/>
        <w:rPr>
          <w:b/>
          <w:sz w:val="72"/>
          <w:szCs w:val="72"/>
        </w:rPr>
      </w:pPr>
    </w:p>
    <w:p w14:paraId="2E1365BB" w14:textId="77777777" w:rsidR="00BD514A" w:rsidRDefault="00BD514A" w:rsidP="00BD514A">
      <w:pPr>
        <w:spacing w:line="240" w:lineRule="auto"/>
        <w:jc w:val="center"/>
        <w:rPr>
          <w:b/>
          <w:sz w:val="72"/>
          <w:szCs w:val="72"/>
        </w:rPr>
      </w:pPr>
    </w:p>
    <w:p w14:paraId="7D20AB37" w14:textId="5243E838" w:rsidR="00BD514A" w:rsidRPr="0051436F" w:rsidRDefault="00BD514A" w:rsidP="00BD514A">
      <w:pPr>
        <w:spacing w:line="240" w:lineRule="auto"/>
        <w:jc w:val="center"/>
        <w:rPr>
          <w:b/>
          <w:sz w:val="72"/>
          <w:szCs w:val="72"/>
        </w:rPr>
      </w:pPr>
      <w:r w:rsidRPr="0051436F">
        <w:rPr>
          <w:b/>
          <w:sz w:val="72"/>
          <w:szCs w:val="72"/>
        </w:rPr>
        <w:t xml:space="preserve">CHEQUEO AL SISTEMA EDUCATIVO EN </w:t>
      </w:r>
      <w:r>
        <w:rPr>
          <w:b/>
          <w:sz w:val="72"/>
          <w:szCs w:val="72"/>
        </w:rPr>
        <w:t>ESPAÑA Y EXTREMADURA</w:t>
      </w:r>
      <w:r w:rsidRPr="0051436F">
        <w:rPr>
          <w:b/>
          <w:sz w:val="72"/>
          <w:szCs w:val="72"/>
        </w:rPr>
        <w:t>, 2019</w:t>
      </w:r>
    </w:p>
    <w:p w14:paraId="194D2F68" w14:textId="20E211E9" w:rsidR="00BD514A" w:rsidRDefault="00BD514A">
      <w:pPr>
        <w:spacing w:after="160" w:line="259" w:lineRule="auto"/>
        <w:ind w:firstLine="0"/>
        <w:jc w:val="left"/>
        <w:rPr>
          <w:b/>
        </w:rPr>
      </w:pPr>
      <w:r>
        <w:rPr>
          <w:b/>
        </w:rPr>
        <w:br w:type="page"/>
      </w:r>
    </w:p>
    <w:p w14:paraId="3A1C69ED" w14:textId="77777777" w:rsidR="00B36037" w:rsidRDefault="00B36037" w:rsidP="005E1C30">
      <w:pPr>
        <w:spacing w:line="240" w:lineRule="auto"/>
        <w:jc w:val="center"/>
        <w:rPr>
          <w:b/>
        </w:rPr>
      </w:pPr>
    </w:p>
    <w:p w14:paraId="39AA3283" w14:textId="6C6ACA06" w:rsidR="00BB44AC" w:rsidRDefault="004658C2" w:rsidP="005E1C30">
      <w:pPr>
        <w:spacing w:line="240" w:lineRule="auto"/>
        <w:jc w:val="center"/>
        <w:rPr>
          <w:b/>
        </w:rPr>
      </w:pPr>
      <w:r>
        <w:rPr>
          <w:b/>
        </w:rPr>
        <w:t>CHEQUEO AL</w:t>
      </w:r>
      <w:r w:rsidR="00BB44AC">
        <w:rPr>
          <w:b/>
        </w:rPr>
        <w:t xml:space="preserve"> </w:t>
      </w:r>
      <w:r w:rsidR="00BB44AC" w:rsidRPr="00EA7601">
        <w:rPr>
          <w:b/>
        </w:rPr>
        <w:t>SISTEM</w:t>
      </w:r>
      <w:r w:rsidR="000D66C0">
        <w:rPr>
          <w:b/>
        </w:rPr>
        <w:t xml:space="preserve">A EDUCATIVO EN ESPAÑA Y </w:t>
      </w:r>
      <w:r w:rsidR="001D6D42">
        <w:rPr>
          <w:b/>
        </w:rPr>
        <w:t>EXTREMADURA</w:t>
      </w:r>
    </w:p>
    <w:p w14:paraId="5160A14F" w14:textId="77777777" w:rsidR="00BB44AC" w:rsidRPr="00FF5625" w:rsidRDefault="00BB44AC" w:rsidP="005E1C30">
      <w:pPr>
        <w:spacing w:line="240" w:lineRule="auto"/>
        <w:jc w:val="center"/>
        <w:rPr>
          <w:b/>
        </w:rPr>
      </w:pPr>
    </w:p>
    <w:p w14:paraId="031925C0" w14:textId="3C0D2E96" w:rsidR="00BB44AC" w:rsidRDefault="00BB44AC" w:rsidP="00C310B8">
      <w:pPr>
        <w:spacing w:line="240" w:lineRule="auto"/>
      </w:pPr>
      <w:r w:rsidRPr="00EA7601">
        <w:t xml:space="preserve">Esta presentación tiene como fuente principal «Indicadores comentados sobre el estado del </w:t>
      </w:r>
      <w:r>
        <w:t>sistema educativo español 201</w:t>
      </w:r>
      <w:r w:rsidR="00BB1B37">
        <w:t>9</w:t>
      </w:r>
      <w:r>
        <w:t xml:space="preserve">» realizado por las </w:t>
      </w:r>
      <w:r w:rsidRPr="00EA7601">
        <w:t>Fundaciones Ramón Areces y Sociedad y educación</w:t>
      </w:r>
      <w:r>
        <w:t>.</w:t>
      </w:r>
      <w:r w:rsidR="00C310B8">
        <w:t xml:space="preserve"> </w:t>
      </w:r>
      <w:r w:rsidRPr="00EA7601">
        <w:t>Es un informe sobre los principales datos que reflejan la situación y evolución del sistema educativo es</w:t>
      </w:r>
      <w:r>
        <w:t xml:space="preserve">pañol, desde una perspectiva de </w:t>
      </w:r>
      <w:r w:rsidRPr="00EA7601">
        <w:t>comparación, y elaborado a partir de fuentes estadísticas e informes nacionales e internacionales.</w:t>
      </w:r>
    </w:p>
    <w:p w14:paraId="76C9E640" w14:textId="77777777" w:rsidR="00C310B8" w:rsidRDefault="00C310B8" w:rsidP="00C310B8">
      <w:pPr>
        <w:spacing w:line="240" w:lineRule="auto"/>
      </w:pPr>
    </w:p>
    <w:p w14:paraId="3A932B99" w14:textId="251AED70" w:rsidR="00C310B8" w:rsidRPr="009E69A0" w:rsidRDefault="00C310B8" w:rsidP="0034233D">
      <w:pPr>
        <w:spacing w:line="240" w:lineRule="auto"/>
      </w:pPr>
      <w:r w:rsidRPr="0034233D">
        <w:t xml:space="preserve">Se han incluido también los dos últimos informes publicados por el Ministerio de Educación: </w:t>
      </w:r>
      <w:r w:rsidR="0034233D" w:rsidRPr="0034233D">
        <w:t>Las cifras de la educación en España</w:t>
      </w:r>
      <w:r w:rsidR="0034233D">
        <w:t xml:space="preserve"> </w:t>
      </w:r>
      <w:r w:rsidR="0034233D" w:rsidRPr="0034233D">
        <w:t>Estadísticas e indicadores</w:t>
      </w:r>
      <w:r w:rsidR="0034233D">
        <w:t xml:space="preserve">. </w:t>
      </w:r>
      <w:r w:rsidR="0034233D" w:rsidRPr="0034233D">
        <w:t>Edición 2019</w:t>
      </w:r>
      <w:r w:rsidR="0034233D">
        <w:t xml:space="preserve">. </w:t>
      </w:r>
      <w:r w:rsidRPr="001D6D42">
        <w:t>El Sistema estatal de indicadores 201</w:t>
      </w:r>
      <w:r w:rsidR="001D6D42" w:rsidRPr="001D6D42">
        <w:t>9</w:t>
      </w:r>
      <w:r w:rsidRPr="001D6D42">
        <w:t xml:space="preserve"> </w:t>
      </w:r>
      <w:r w:rsidRPr="009E69A0">
        <w:t>y últimas estadísticas Datos y Cifras. Curso escolar 2018-2019.</w:t>
      </w:r>
      <w:r w:rsidR="004A09F9">
        <w:t xml:space="preserve"> También se ha consultado el Anuario estadístico de Extremadura 2018.</w:t>
      </w:r>
    </w:p>
    <w:p w14:paraId="3AFC7136" w14:textId="77777777" w:rsidR="004658C2" w:rsidRPr="002E479B" w:rsidRDefault="004658C2" w:rsidP="005E1C30">
      <w:pPr>
        <w:spacing w:line="240" w:lineRule="auto"/>
        <w:rPr>
          <w:color w:val="FF0000"/>
        </w:rPr>
      </w:pPr>
    </w:p>
    <w:p w14:paraId="018FFC4A" w14:textId="626E5DEB" w:rsidR="00BB44AC" w:rsidRDefault="00BB44AC" w:rsidP="005E1C30">
      <w:pPr>
        <w:spacing w:line="240" w:lineRule="auto"/>
      </w:pPr>
      <w:r w:rsidRPr="00EA7601">
        <w:t xml:space="preserve">Se han escogido para esta presentación una selección de indicadores que </w:t>
      </w:r>
      <w:r w:rsidR="001D6D42" w:rsidRPr="00EA7601">
        <w:t>describen la</w:t>
      </w:r>
      <w:r w:rsidRPr="00EA7601">
        <w:t xml:space="preserve"> situación general, recursos y resultados educativos de Andalucía y </w:t>
      </w:r>
      <w:r>
        <w:t>d</w:t>
      </w:r>
      <w:r w:rsidRPr="00EA7601">
        <w:t xml:space="preserve">el conjunto de España con </w:t>
      </w:r>
      <w:r w:rsidR="001D6D42" w:rsidRPr="00EA7601">
        <w:t>referencia también</w:t>
      </w:r>
      <w:r w:rsidRPr="00EA7601">
        <w:t xml:space="preserve"> al marco europeo</w:t>
      </w:r>
      <w:r>
        <w:t>.</w:t>
      </w:r>
    </w:p>
    <w:p w14:paraId="0BCE43EE" w14:textId="77777777" w:rsidR="004658C2" w:rsidRDefault="004658C2" w:rsidP="005E1C30">
      <w:pPr>
        <w:spacing w:line="240" w:lineRule="auto"/>
      </w:pPr>
    </w:p>
    <w:p w14:paraId="0310B8EA" w14:textId="77777777" w:rsidR="004658C2" w:rsidRDefault="004658C2" w:rsidP="005E1C30">
      <w:pPr>
        <w:spacing w:line="240" w:lineRule="auto"/>
      </w:pPr>
    </w:p>
    <w:p w14:paraId="33929182" w14:textId="0D15A833" w:rsidR="00BB44AC" w:rsidRDefault="007F37B0" w:rsidP="005E1C30">
      <w:pPr>
        <w:spacing w:line="240" w:lineRule="auto"/>
      </w:pPr>
      <w:hyperlink r:id="rId7" w:history="1">
        <w:r w:rsidR="00BB44AC" w:rsidRPr="003E0319">
          <w:rPr>
            <w:rStyle w:val="Hipervnculo"/>
          </w:rPr>
          <w:t>La Fundación Europea Sociedad y Educación</w:t>
        </w:r>
      </w:hyperlink>
      <w:r w:rsidR="00BB44AC">
        <w:t>, autora del informe,</w:t>
      </w:r>
      <w:r w:rsidR="00BB44AC" w:rsidRPr="00303554">
        <w:t xml:space="preserve"> es un centro de conocimiento que promueve la investigación socioeducativa desde una perspectiva interdisciplinar, realizando </w:t>
      </w:r>
      <w:r w:rsidR="002E479B" w:rsidRPr="00303554">
        <w:t>un análisis</w:t>
      </w:r>
      <w:r w:rsidR="00BB44AC" w:rsidRPr="00303554">
        <w:t xml:space="preserve"> crítico y constructivo, y sirviendo de foro de </w:t>
      </w:r>
      <w:r w:rsidR="002E479B" w:rsidRPr="00303554">
        <w:t>encuentro entre</w:t>
      </w:r>
      <w:r w:rsidR="00BB44AC" w:rsidRPr="00303554">
        <w:t xml:space="preserve"> las Administraciones, la comunidad educativa, la empresa y la sociedad.</w:t>
      </w:r>
    </w:p>
    <w:p w14:paraId="18E4F5AC" w14:textId="77777777" w:rsidR="00C310B8" w:rsidRDefault="00C310B8" w:rsidP="005E1C30">
      <w:pPr>
        <w:spacing w:line="240" w:lineRule="auto"/>
      </w:pPr>
    </w:p>
    <w:p w14:paraId="22B17442" w14:textId="77777777" w:rsidR="00BB44AC" w:rsidRDefault="00BB44AC" w:rsidP="005E1C30">
      <w:pPr>
        <w:spacing w:line="240" w:lineRule="auto"/>
      </w:pPr>
      <w:r>
        <w:t xml:space="preserve">Su </w:t>
      </w:r>
      <w:hyperlink r:id="rId8" w:history="1">
        <w:r w:rsidRPr="003E0319">
          <w:rPr>
            <w:rStyle w:val="Hipervnculo"/>
          </w:rPr>
          <w:t>unidad de observación y evaluación educativa (OYE)</w:t>
        </w:r>
      </w:hyperlink>
      <w:r>
        <w:t xml:space="preserve"> </w:t>
      </w:r>
      <w:r w:rsidRPr="00455E21">
        <w:t xml:space="preserve"> persigue la calidad de la educación a través de </w:t>
      </w:r>
      <w:r>
        <w:t xml:space="preserve">la evaluación y observación del </w:t>
      </w:r>
      <w:r w:rsidRPr="00455E21">
        <w:t>comportamiento de las variables educativas más relevantes.</w:t>
      </w:r>
    </w:p>
    <w:p w14:paraId="0CC5BC9E" w14:textId="77777777" w:rsidR="00C310B8" w:rsidRDefault="00C310B8" w:rsidP="005E1C30">
      <w:pPr>
        <w:spacing w:line="240" w:lineRule="auto"/>
      </w:pPr>
    </w:p>
    <w:p w14:paraId="18E1B0D0" w14:textId="4C58D9BF" w:rsidR="00BB44AC" w:rsidRDefault="00BB44AC" w:rsidP="005E1C30">
      <w:pPr>
        <w:spacing w:line="240" w:lineRule="auto"/>
      </w:pPr>
      <w:r>
        <w:t xml:space="preserve">La selección de indicadores preparada para esta presentación abarca tres aspectos: </w:t>
      </w:r>
      <w:r w:rsidRPr="00BB40A6">
        <w:rPr>
          <w:b/>
        </w:rPr>
        <w:t xml:space="preserve">descripción general del </w:t>
      </w:r>
      <w:r>
        <w:rPr>
          <w:b/>
        </w:rPr>
        <w:t>sistema</w:t>
      </w:r>
      <w:r w:rsidRPr="00BB40A6">
        <w:rPr>
          <w:b/>
        </w:rPr>
        <w:t xml:space="preserve"> educativo, recursos y resultados</w:t>
      </w:r>
      <w:r>
        <w:t xml:space="preserve">. En este último apartado se </w:t>
      </w:r>
      <w:r w:rsidR="002E479B">
        <w:t>hace una</w:t>
      </w:r>
      <w:r>
        <w:t xml:space="preserve"> referencia comparativa a los objetivos europeos 2020.</w:t>
      </w:r>
    </w:p>
    <w:p w14:paraId="07A662AF" w14:textId="77777777" w:rsidR="0017455D" w:rsidRDefault="0017455D" w:rsidP="005E1C30">
      <w:pPr>
        <w:spacing w:line="240" w:lineRule="auto"/>
      </w:pPr>
    </w:p>
    <w:p w14:paraId="6DE6C70F" w14:textId="77777777" w:rsidR="008F5A5B" w:rsidRDefault="008F5A5B" w:rsidP="005E1C30">
      <w:pPr>
        <w:spacing w:line="240" w:lineRule="auto"/>
      </w:pPr>
    </w:p>
    <w:p w14:paraId="496F8C26" w14:textId="77777777" w:rsidR="008F5A5B" w:rsidRDefault="008F5A5B" w:rsidP="005E1C30">
      <w:pPr>
        <w:spacing w:line="240" w:lineRule="auto"/>
      </w:pPr>
    </w:p>
    <w:p w14:paraId="132F7484" w14:textId="3720F91C" w:rsidR="008F5A5B" w:rsidRDefault="0000208F" w:rsidP="0017455D">
      <w:pPr>
        <w:pStyle w:val="Prrafodelista"/>
        <w:numPr>
          <w:ilvl w:val="0"/>
          <w:numId w:val="21"/>
        </w:numPr>
        <w:spacing w:line="240" w:lineRule="auto"/>
      </w:pPr>
      <w:r>
        <w:t>Extremadura</w:t>
      </w:r>
      <w:r w:rsidR="008F5A5B" w:rsidRPr="008F5A5B">
        <w:t xml:space="preserve"> es la </w:t>
      </w:r>
      <w:r>
        <w:t>quinta</w:t>
      </w:r>
      <w:r w:rsidR="008F5A5B" w:rsidRPr="008F5A5B">
        <w:t xml:space="preserve"> Comunidad Autónoma española con más extensión territorial (</w:t>
      </w:r>
      <w:r>
        <w:t>41.635</w:t>
      </w:r>
      <w:r w:rsidR="008F5A5B" w:rsidRPr="008F5A5B">
        <w:t xml:space="preserve"> Km2)</w:t>
      </w:r>
      <w:r w:rsidR="0046115A">
        <w:t>.</w:t>
      </w:r>
      <w:r w:rsidR="008F5A5B" w:rsidRPr="008F5A5B">
        <w:t xml:space="preserve"> </w:t>
      </w:r>
      <w:r w:rsidR="00F05F56">
        <w:t xml:space="preserve">Va perdiendo población desde hace unos </w:t>
      </w:r>
      <w:r w:rsidR="00A37E09">
        <w:t>7</w:t>
      </w:r>
      <w:r w:rsidR="00F05F56">
        <w:t xml:space="preserve"> años</w:t>
      </w:r>
      <w:r w:rsidR="008F5A5B" w:rsidRPr="008F5A5B">
        <w:t xml:space="preserve"> (</w:t>
      </w:r>
      <w:r w:rsidR="00F05F56" w:rsidRPr="00F05F56">
        <w:t>1.079.920</w:t>
      </w:r>
      <w:r w:rsidR="00F05F56">
        <w:t xml:space="preserve"> en el año 2017)</w:t>
      </w:r>
      <w:r w:rsidR="007B7B6E">
        <w:t>, con 1,29 hijos por mujer.</w:t>
      </w:r>
      <w:r w:rsidR="008F5A5B" w:rsidRPr="008F5A5B">
        <w:t xml:space="preserve"> El porcentaje de la población de 0 a 29 años es </w:t>
      </w:r>
      <w:r w:rsidR="004A09F9" w:rsidRPr="008F5A5B">
        <w:t>de (</w:t>
      </w:r>
      <w:r w:rsidR="008F5A5B" w:rsidRPr="008F5A5B">
        <w:t>3</w:t>
      </w:r>
      <w:r>
        <w:t>0</w:t>
      </w:r>
      <w:r w:rsidR="008F5A5B" w:rsidRPr="008F5A5B">
        <w:t>,</w:t>
      </w:r>
      <w:r>
        <w:t>3</w:t>
      </w:r>
      <w:r w:rsidR="008F5A5B" w:rsidRPr="008F5A5B">
        <w:t>%) siendo la media nacional de 30,1%. Tiene un bajo PIB per cápita (1</w:t>
      </w:r>
      <w:r>
        <w:t>7.262</w:t>
      </w:r>
      <w:r w:rsidR="008F5A5B" w:rsidRPr="008F5A5B">
        <w:t xml:space="preserve"> €). También la tasa de paro es la más alta (2</w:t>
      </w:r>
      <w:r>
        <w:t>6</w:t>
      </w:r>
      <w:r w:rsidR="008F5A5B" w:rsidRPr="008F5A5B">
        <w:t>,</w:t>
      </w:r>
      <w:r>
        <w:t>2</w:t>
      </w:r>
      <w:r w:rsidR="008F5A5B" w:rsidRPr="008F5A5B">
        <w:t xml:space="preserve">%), superada por </w:t>
      </w:r>
      <w:r>
        <w:t xml:space="preserve">Melilla </w:t>
      </w:r>
      <w:r w:rsidR="008F5A5B" w:rsidRPr="008F5A5B">
        <w:t>(2</w:t>
      </w:r>
      <w:r>
        <w:t>7</w:t>
      </w:r>
      <w:r w:rsidR="008F5A5B" w:rsidRPr="008F5A5B">
        <w:t>,</w:t>
      </w:r>
      <w:r>
        <w:t>6</w:t>
      </w:r>
      <w:r w:rsidR="008F5A5B" w:rsidRPr="008F5A5B">
        <w:t xml:space="preserve">%) y tan solo el </w:t>
      </w:r>
      <w:r w:rsidR="004A09F9">
        <w:t>46</w:t>
      </w:r>
      <w:r w:rsidR="008F5A5B" w:rsidRPr="008F5A5B">
        <w:t xml:space="preserve">% de la población entre 25 y 64 años ha completado al menos los estudios postobligatorios. </w:t>
      </w:r>
      <w:r w:rsidR="008F5A5B" w:rsidRPr="008F5A5B">
        <w:lastRenderedPageBreak/>
        <w:t>Es decir</w:t>
      </w:r>
      <w:r w:rsidR="0046115A">
        <w:t>,</w:t>
      </w:r>
      <w:r w:rsidR="008F5A5B" w:rsidRPr="008F5A5B">
        <w:t xml:space="preserve"> que un </w:t>
      </w:r>
      <w:r w:rsidR="004A09F9">
        <w:t>54</w:t>
      </w:r>
      <w:r w:rsidR="008F5A5B" w:rsidRPr="008F5A5B">
        <w:t>% de la población de esa edad tiene un nivel educativo inferior a la segunda etapa de educación secundaria.</w:t>
      </w:r>
    </w:p>
    <w:p w14:paraId="1E95A4FA" w14:textId="77777777" w:rsidR="008F5A5B" w:rsidRDefault="008F5A5B" w:rsidP="005E1C30">
      <w:pPr>
        <w:spacing w:line="240" w:lineRule="auto"/>
      </w:pPr>
    </w:p>
    <w:p w14:paraId="0B6B0EA0" w14:textId="77777777" w:rsidR="00C35960" w:rsidRPr="005F014C" w:rsidRDefault="00C35960" w:rsidP="00C35960">
      <w:pPr>
        <w:pStyle w:val="Prrafodelista"/>
        <w:spacing w:line="240" w:lineRule="auto"/>
        <w:ind w:left="1211" w:firstLine="0"/>
        <w:rPr>
          <w:color w:val="FF0000"/>
        </w:rPr>
      </w:pPr>
    </w:p>
    <w:p w14:paraId="251CBC8F" w14:textId="3D7183E3" w:rsidR="00BB44AC" w:rsidRPr="0017455D" w:rsidRDefault="008F5A5B" w:rsidP="0017455D">
      <w:pPr>
        <w:pStyle w:val="Prrafodelista"/>
        <w:numPr>
          <w:ilvl w:val="0"/>
          <w:numId w:val="21"/>
        </w:numPr>
        <w:spacing w:line="240" w:lineRule="auto"/>
        <w:rPr>
          <w:color w:val="FF0000"/>
        </w:rPr>
      </w:pPr>
      <w:r w:rsidRPr="008F5A5B">
        <w:t xml:space="preserve">La previsión de alumnado para el curso 2019-2020 según los datos aportados por el Ministerio de Educación y Formación Profesional en </w:t>
      </w:r>
      <w:r w:rsidRPr="00A17B41">
        <w:rPr>
          <w:i/>
          <w:iCs/>
        </w:rPr>
        <w:t>Datos y Cifras. Curso escolar 2019-2020</w:t>
      </w:r>
      <w:r w:rsidRPr="008F5A5B">
        <w:t xml:space="preserve"> es de 8.217.330, presentando como novedad una pérdida de 37.687 alumnos en Primaria</w:t>
      </w:r>
      <w:r w:rsidR="00A0600E">
        <w:rPr>
          <w:color w:val="FF0000"/>
        </w:rPr>
        <w:t xml:space="preserve">. </w:t>
      </w:r>
      <w:r w:rsidR="00A0600E" w:rsidRPr="00A0600E">
        <w:t>Extremadura</w:t>
      </w:r>
      <w:r w:rsidRPr="00A0600E">
        <w:t xml:space="preserve"> escolariza a</w:t>
      </w:r>
      <w:r w:rsidR="00A0600E" w:rsidRPr="00A0600E">
        <w:t xml:space="preserve"> 180.761 alumnos en el régimen general, de los que el 80,3</w:t>
      </w:r>
      <w:r w:rsidRPr="00A0600E">
        <w:t xml:space="preserve"> % lo hace en la enseñanza pública.</w:t>
      </w:r>
      <w:r w:rsidRPr="008F5A5B">
        <w:rPr>
          <w:color w:val="FF0000"/>
        </w:rPr>
        <w:t xml:space="preserve"> </w:t>
      </w:r>
      <w:r w:rsidRPr="006836A9">
        <w:t xml:space="preserve">En Educación infantil hay matriculados </w:t>
      </w:r>
      <w:r w:rsidR="006836A9" w:rsidRPr="006836A9">
        <w:t>35.213</w:t>
      </w:r>
      <w:r w:rsidRPr="006836A9">
        <w:t xml:space="preserve"> alumnos,</w:t>
      </w:r>
      <w:r w:rsidRPr="008F5A5B">
        <w:rPr>
          <w:color w:val="FF0000"/>
        </w:rPr>
        <w:t xml:space="preserve"> </w:t>
      </w:r>
      <w:r w:rsidRPr="006836A9">
        <w:t xml:space="preserve">en enseñanza </w:t>
      </w:r>
      <w:r w:rsidR="006836A9" w:rsidRPr="006836A9">
        <w:t>Primaria 42.327</w:t>
      </w:r>
      <w:r w:rsidRPr="006836A9">
        <w:t xml:space="preserve">obligatoria </w:t>
      </w:r>
      <w:r w:rsidR="006836A9" w:rsidRPr="006836A9">
        <w:t>43.479</w:t>
      </w:r>
      <w:r w:rsidRPr="006836A9">
        <w:t xml:space="preserve">, en Bachillerato </w:t>
      </w:r>
      <w:r w:rsidR="006836A9" w:rsidRPr="006836A9">
        <w:t xml:space="preserve">16.335 </w:t>
      </w:r>
      <w:r w:rsidRPr="006836A9">
        <w:t xml:space="preserve">y en FP </w:t>
      </w:r>
      <w:r w:rsidR="006836A9" w:rsidRPr="006836A9">
        <w:t xml:space="preserve">19.263 </w:t>
      </w:r>
      <w:r w:rsidR="006836A9">
        <w:t>(curso 2017/2018</w:t>
      </w:r>
      <w:r w:rsidRPr="006836A9">
        <w:t>)</w:t>
      </w:r>
      <w:r w:rsidR="0017455D">
        <w:t>.</w:t>
      </w:r>
    </w:p>
    <w:p w14:paraId="27E960ED" w14:textId="77777777" w:rsidR="0017455D" w:rsidRDefault="0017455D" w:rsidP="0017455D">
      <w:pPr>
        <w:pStyle w:val="Prrafodelista"/>
        <w:spacing w:line="240" w:lineRule="auto"/>
        <w:ind w:left="1353" w:firstLine="0"/>
        <w:rPr>
          <w:color w:val="FF0000"/>
        </w:rPr>
      </w:pPr>
    </w:p>
    <w:p w14:paraId="7EC54121" w14:textId="02B7E92E" w:rsidR="00A0600E" w:rsidRPr="00FF2096" w:rsidRDefault="00A0600E" w:rsidP="0017455D">
      <w:pPr>
        <w:pStyle w:val="Prrafodelista"/>
        <w:numPr>
          <w:ilvl w:val="0"/>
          <w:numId w:val="21"/>
        </w:numPr>
        <w:spacing w:line="240" w:lineRule="auto"/>
      </w:pPr>
      <w:r w:rsidRPr="00FF2096">
        <w:t>Es</w:t>
      </w:r>
      <w:r w:rsidR="0017455D">
        <w:t xml:space="preserve"> </w:t>
      </w:r>
      <w:r w:rsidRPr="00FF2096">
        <w:t>significativo señalar quién oferta el servicio educativo en Extremadura y su comparativa con otras regiones. Podemos apreciar que Extremadura es la región después de Castilla La Mancha</w:t>
      </w:r>
      <w:r w:rsidR="00FF2096">
        <w:t xml:space="preserve">, Ceuta y </w:t>
      </w:r>
      <w:r w:rsidR="0046115A">
        <w:t>Melilla</w:t>
      </w:r>
      <w:r w:rsidR="0046115A" w:rsidRPr="00FF2096">
        <w:t xml:space="preserve"> con</w:t>
      </w:r>
      <w:r w:rsidRPr="00FF2096">
        <w:t xml:space="preserve"> un peso mayor de la enseñanza pública: un 80,1%, siendo la media nacional un 67,2%. La privada concertada es del 17,6%</w:t>
      </w:r>
      <w:r w:rsidR="00BD514A">
        <w:t xml:space="preserve"> y </w:t>
      </w:r>
      <w:r w:rsidR="0046115A">
        <w:t xml:space="preserve">la </w:t>
      </w:r>
      <w:r w:rsidR="0046115A" w:rsidRPr="00FF2096">
        <w:t>privada</w:t>
      </w:r>
      <w:r w:rsidRPr="00FF2096">
        <w:t xml:space="preserve"> sin concertar es del 2,2%. </w:t>
      </w:r>
    </w:p>
    <w:p w14:paraId="5A7A88C6" w14:textId="77777777" w:rsidR="00BB44AC" w:rsidRPr="005F014C" w:rsidRDefault="00BB44AC" w:rsidP="005E1C30">
      <w:pPr>
        <w:pStyle w:val="Prrafodelista"/>
        <w:spacing w:line="240" w:lineRule="auto"/>
        <w:ind w:left="1069" w:firstLine="0"/>
        <w:jc w:val="left"/>
        <w:rPr>
          <w:color w:val="FF0000"/>
        </w:rPr>
      </w:pPr>
    </w:p>
    <w:p w14:paraId="438FFB4C" w14:textId="77777777" w:rsidR="00A17B41" w:rsidRDefault="00BB44AC" w:rsidP="0017455D">
      <w:pPr>
        <w:pStyle w:val="Prrafodelista"/>
        <w:numPr>
          <w:ilvl w:val="0"/>
          <w:numId w:val="21"/>
        </w:numPr>
        <w:spacing w:line="240" w:lineRule="auto"/>
      </w:pPr>
      <w:r>
        <w:t>En</w:t>
      </w:r>
      <w:r w:rsidR="0017455D">
        <w:t xml:space="preserve"> </w:t>
      </w:r>
      <w:r w:rsidR="001D6D42">
        <w:t>Extremadura</w:t>
      </w:r>
      <w:r w:rsidR="002F33B2">
        <w:t xml:space="preserve"> durante </w:t>
      </w:r>
      <w:r>
        <w:t xml:space="preserve">los últimos 10 años el alumnado del Régimen General </w:t>
      </w:r>
      <w:r w:rsidRPr="001D6D42">
        <w:rPr>
          <w:b/>
          <w:bCs/>
        </w:rPr>
        <w:t xml:space="preserve">no universitario </w:t>
      </w:r>
      <w:r w:rsidR="001D6D42" w:rsidRPr="001D6D42">
        <w:rPr>
          <w:b/>
          <w:bCs/>
        </w:rPr>
        <w:t>de</w:t>
      </w:r>
      <w:r w:rsidRPr="001D6D42">
        <w:rPr>
          <w:b/>
          <w:bCs/>
        </w:rPr>
        <w:t>creció</w:t>
      </w:r>
      <w:r>
        <w:t xml:space="preserve"> un </w:t>
      </w:r>
      <w:r w:rsidR="001D6D42">
        <w:t>-0,7%</w:t>
      </w:r>
      <w:r>
        <w:t xml:space="preserve"> %. </w:t>
      </w:r>
      <w:r w:rsidR="001D6D42">
        <w:t xml:space="preserve">(-1,2 con relación al año anterior 2017/2018). </w:t>
      </w:r>
    </w:p>
    <w:p w14:paraId="05A859A5" w14:textId="77777777" w:rsidR="00A17B41" w:rsidRDefault="00A17B41" w:rsidP="00A17B41">
      <w:pPr>
        <w:pStyle w:val="Prrafodelista"/>
      </w:pPr>
    </w:p>
    <w:p w14:paraId="29DDF111" w14:textId="4EF2616A" w:rsidR="00BB44AC" w:rsidRDefault="00BB44AC" w:rsidP="0017455D">
      <w:pPr>
        <w:pStyle w:val="Prrafodelista"/>
        <w:numPr>
          <w:ilvl w:val="0"/>
          <w:numId w:val="21"/>
        </w:numPr>
        <w:spacing w:line="240" w:lineRule="auto"/>
      </w:pPr>
      <w:r>
        <w:t xml:space="preserve">El porcentaje de alumno extranjero es el </w:t>
      </w:r>
      <w:r w:rsidR="001D6D42">
        <w:t>2,8</w:t>
      </w:r>
      <w:r w:rsidRPr="003E0319">
        <w:t xml:space="preserve"> %</w:t>
      </w:r>
      <w:r>
        <w:t xml:space="preserve">, inferior a la media nacional </w:t>
      </w:r>
      <w:r w:rsidR="002E479B">
        <w:t>9,3</w:t>
      </w:r>
      <w:r>
        <w:t xml:space="preserve"> </w:t>
      </w:r>
      <w:r w:rsidR="001D6D42">
        <w:t>% y la más baja de todas las CCAA.</w:t>
      </w:r>
    </w:p>
    <w:p w14:paraId="4275EA8C" w14:textId="77777777" w:rsidR="00BB44AC" w:rsidRDefault="00BB44AC" w:rsidP="005E1C30">
      <w:pPr>
        <w:spacing w:line="240" w:lineRule="auto"/>
        <w:ind w:firstLine="0"/>
        <w:jc w:val="left"/>
      </w:pPr>
    </w:p>
    <w:p w14:paraId="40B3E0BD" w14:textId="152CE1BD" w:rsidR="00BB44AC" w:rsidRDefault="00BB44AC" w:rsidP="0017455D">
      <w:pPr>
        <w:pStyle w:val="Prrafodelista"/>
        <w:numPr>
          <w:ilvl w:val="0"/>
          <w:numId w:val="21"/>
        </w:numPr>
        <w:spacing w:line="240" w:lineRule="auto"/>
      </w:pPr>
      <w:r>
        <w:rPr>
          <w:b/>
        </w:rPr>
        <w:t>Hemos de partir de un pl</w:t>
      </w:r>
      <w:r w:rsidR="00C35960">
        <w:rPr>
          <w:b/>
        </w:rPr>
        <w:t>anteamiento positivo</w:t>
      </w:r>
      <w:r w:rsidR="002F33B2">
        <w:rPr>
          <w:b/>
        </w:rPr>
        <w:t xml:space="preserve"> de la evolución de la educación en España: e</w:t>
      </w:r>
      <w:r w:rsidR="00C35960">
        <w:rPr>
          <w:b/>
        </w:rPr>
        <w:t>l continu</w:t>
      </w:r>
      <w:r>
        <w:rPr>
          <w:b/>
        </w:rPr>
        <w:t>o aumento del n</w:t>
      </w:r>
      <w:r w:rsidRPr="00A44BBA">
        <w:rPr>
          <w:b/>
        </w:rPr>
        <w:t>ivel educativo entre los 25 y los 64 años</w:t>
      </w:r>
      <w:r w:rsidRPr="00A44BBA">
        <w:t>. El porcentaje de dicha población con un nivel máximo de estudios inferior a Educación Secundaria 2ª etapa ha descen</w:t>
      </w:r>
      <w:r>
        <w:t>dido de forma progresiva durante los</w:t>
      </w:r>
      <w:r w:rsidRPr="00A44BBA">
        <w:t xml:space="preserve"> últim</w:t>
      </w:r>
      <w:r>
        <w:t xml:space="preserve">os quince años hasta situarse en un </w:t>
      </w:r>
      <w:r w:rsidR="002E479B">
        <w:t>39</w:t>
      </w:r>
      <w:r>
        <w:t>,9</w:t>
      </w:r>
      <w:r w:rsidRPr="00A44BBA">
        <w:t xml:space="preserve">% en </w:t>
      </w:r>
      <w:r>
        <w:t>201</w:t>
      </w:r>
      <w:r w:rsidR="002E479B">
        <w:t>8</w:t>
      </w:r>
      <w:r>
        <w:t xml:space="preserve"> es decir, 17</w:t>
      </w:r>
      <w:r w:rsidR="002E479B">
        <w:t>,9</w:t>
      </w:r>
      <w:r>
        <w:t xml:space="preserve"> puntos menos que en 2002</w:t>
      </w:r>
      <w:r w:rsidRPr="00A44BBA">
        <w:t>. Por su parte, el porcentaje con un nivel de Educación Secundaria</w:t>
      </w:r>
      <w:r>
        <w:t xml:space="preserve"> </w:t>
      </w:r>
      <w:r w:rsidRPr="00A44BBA">
        <w:t>2ª etapa h</w:t>
      </w:r>
      <w:r>
        <w:t>a crecido ligeramente desde 2002</w:t>
      </w:r>
      <w:r w:rsidRPr="00A44BBA">
        <w:t xml:space="preserve"> hast</w:t>
      </w:r>
      <w:r>
        <w:t>a el máximo de 22,</w:t>
      </w:r>
      <w:r w:rsidR="002E479B">
        <w:t>9</w:t>
      </w:r>
      <w:r>
        <w:t>% en 2017, lo que supone 5,</w:t>
      </w:r>
      <w:r w:rsidR="002E479B">
        <w:t>5</w:t>
      </w:r>
      <w:r>
        <w:t xml:space="preserve"> puntos más que en 2002</w:t>
      </w:r>
      <w:r w:rsidRPr="00A44BBA">
        <w:t>. Por último, el porcentaje de población que</w:t>
      </w:r>
      <w:r>
        <w:t xml:space="preserve"> </w:t>
      </w:r>
      <w:r w:rsidRPr="00A44BBA">
        <w:t>alcanza el nivel de</w:t>
      </w:r>
      <w:r>
        <w:t xml:space="preserve"> Educación Superior ha crecido 1</w:t>
      </w:r>
      <w:r w:rsidR="00AF2E01">
        <w:t>2</w:t>
      </w:r>
      <w:r>
        <w:t>,</w:t>
      </w:r>
      <w:r w:rsidR="00AF2E01">
        <w:t>3</w:t>
      </w:r>
      <w:r w:rsidRPr="00A44BBA">
        <w:t xml:space="preserve"> puntos porcentua</w:t>
      </w:r>
      <w:r>
        <w:t>les desde 2002, alcanzando un 3</w:t>
      </w:r>
      <w:r w:rsidR="00AF2E01">
        <w:t>7</w:t>
      </w:r>
      <w:r>
        <w:t>,</w:t>
      </w:r>
      <w:r w:rsidR="00AF2E01">
        <w:t>3</w:t>
      </w:r>
      <w:r w:rsidRPr="00A44BBA">
        <w:t xml:space="preserve">% </w:t>
      </w:r>
      <w:r>
        <w:t>en 201</w:t>
      </w:r>
      <w:r w:rsidR="00AF2E01">
        <w:t>8</w:t>
      </w:r>
      <w:r>
        <w:t xml:space="preserve">. </w:t>
      </w:r>
    </w:p>
    <w:p w14:paraId="4FC1915E" w14:textId="77777777" w:rsidR="00BB44AC" w:rsidRDefault="00BB44AC" w:rsidP="005E1C30">
      <w:pPr>
        <w:pStyle w:val="Prrafodelista"/>
        <w:spacing w:line="240" w:lineRule="auto"/>
      </w:pPr>
    </w:p>
    <w:p w14:paraId="4FF2B3C4" w14:textId="7D31116F" w:rsidR="00BB44AC" w:rsidRDefault="002F33B2" w:rsidP="0017455D">
      <w:pPr>
        <w:pStyle w:val="Prrafodelista"/>
        <w:numPr>
          <w:ilvl w:val="0"/>
          <w:numId w:val="21"/>
        </w:numPr>
        <w:spacing w:line="240" w:lineRule="auto"/>
      </w:pPr>
      <w:r>
        <w:t>Son significativas</w:t>
      </w:r>
      <w:r w:rsidR="00BB44AC">
        <w:t xml:space="preserve"> las diferencias territoriales en el nivel educativo alcanzado por la población. </w:t>
      </w:r>
      <w:r w:rsidR="00BB44AC" w:rsidRPr="00654651">
        <w:rPr>
          <w:b/>
        </w:rPr>
        <w:t xml:space="preserve">En particular </w:t>
      </w:r>
      <w:r w:rsidR="001D6D42">
        <w:rPr>
          <w:b/>
        </w:rPr>
        <w:t>Extremadur</w:t>
      </w:r>
      <w:r w:rsidR="00C053CE">
        <w:rPr>
          <w:b/>
        </w:rPr>
        <w:t>a</w:t>
      </w:r>
      <w:r w:rsidR="00BB44AC" w:rsidRPr="00654651">
        <w:rPr>
          <w:b/>
        </w:rPr>
        <w:t xml:space="preserve"> tiene </w:t>
      </w:r>
      <w:r w:rsidR="0046115A">
        <w:rPr>
          <w:b/>
        </w:rPr>
        <w:t>la</w:t>
      </w:r>
      <w:r w:rsidR="0046115A" w:rsidRPr="00654651">
        <w:rPr>
          <w:b/>
        </w:rPr>
        <w:t xml:space="preserve"> cifra</w:t>
      </w:r>
      <w:r w:rsidR="00BB44AC" w:rsidRPr="00654651">
        <w:rPr>
          <w:b/>
        </w:rPr>
        <w:t xml:space="preserve"> </w:t>
      </w:r>
      <w:r w:rsidR="00C053CE">
        <w:rPr>
          <w:b/>
        </w:rPr>
        <w:t xml:space="preserve">más elevada </w:t>
      </w:r>
      <w:r w:rsidR="00BB44AC" w:rsidRPr="00654651">
        <w:rPr>
          <w:b/>
        </w:rPr>
        <w:t>de alumnos con</w:t>
      </w:r>
      <w:r w:rsidR="00BB44AC">
        <w:rPr>
          <w:b/>
        </w:rPr>
        <w:t xml:space="preserve"> nivel inferior a </w:t>
      </w:r>
      <w:r>
        <w:rPr>
          <w:b/>
        </w:rPr>
        <w:t xml:space="preserve">Secundaria </w:t>
      </w:r>
      <w:r w:rsidR="00BB44AC">
        <w:rPr>
          <w:b/>
        </w:rPr>
        <w:t>2ª etapa</w:t>
      </w:r>
      <w:r>
        <w:rPr>
          <w:b/>
        </w:rPr>
        <w:t>,</w:t>
      </w:r>
      <w:r w:rsidR="00BB44AC">
        <w:rPr>
          <w:b/>
        </w:rPr>
        <w:t xml:space="preserve"> un</w:t>
      </w:r>
      <w:r w:rsidR="00AF2E01">
        <w:rPr>
          <w:b/>
        </w:rPr>
        <w:t xml:space="preserve"> </w:t>
      </w:r>
      <w:r w:rsidR="00C053CE">
        <w:rPr>
          <w:b/>
        </w:rPr>
        <w:t>55</w:t>
      </w:r>
      <w:r w:rsidR="00BB44AC" w:rsidRPr="00654651">
        <w:rPr>
          <w:b/>
        </w:rPr>
        <w:t xml:space="preserve"> %,</w:t>
      </w:r>
      <w:r w:rsidR="00AF2E01">
        <w:rPr>
          <w:b/>
        </w:rPr>
        <w:t xml:space="preserve"> (1,</w:t>
      </w:r>
      <w:r w:rsidR="00C053CE">
        <w:rPr>
          <w:b/>
        </w:rPr>
        <w:t>9</w:t>
      </w:r>
      <w:r w:rsidR="00AF2E01">
        <w:rPr>
          <w:b/>
        </w:rPr>
        <w:t xml:space="preserve"> menos que en 2017</w:t>
      </w:r>
      <w:r w:rsidR="00D23CF5">
        <w:rPr>
          <w:b/>
        </w:rPr>
        <w:t xml:space="preserve"> y 5 puntos menos que en 2013</w:t>
      </w:r>
      <w:r w:rsidR="00AF2E01">
        <w:rPr>
          <w:b/>
        </w:rPr>
        <w:t>)</w:t>
      </w:r>
      <w:r w:rsidR="00BB44AC">
        <w:t xml:space="preserve"> siendo la media de España un 40,9 %. </w:t>
      </w:r>
      <w:r w:rsidR="000F16C1">
        <w:t xml:space="preserve">El nivel alcanzado por la población presenta una forma de </w:t>
      </w:r>
      <w:r w:rsidR="00BB44AC" w:rsidRPr="000F16C1">
        <w:rPr>
          <w:b/>
        </w:rPr>
        <w:t>V</w:t>
      </w:r>
      <w:r w:rsidR="000F16C1" w:rsidRPr="000F16C1">
        <w:t xml:space="preserve"> correspondiendo el punto </w:t>
      </w:r>
      <w:r w:rsidR="00AF2E01" w:rsidRPr="000F16C1">
        <w:t>inferior al</w:t>
      </w:r>
      <w:r w:rsidR="00AF2E01">
        <w:t xml:space="preserve"> </w:t>
      </w:r>
      <w:r w:rsidR="00C053CE">
        <w:t xml:space="preserve">19 </w:t>
      </w:r>
      <w:r w:rsidR="00BB44AC" w:rsidRPr="000F16C1">
        <w:t>%</w:t>
      </w:r>
      <w:r w:rsidR="000F16C1" w:rsidRPr="000F16C1">
        <w:t xml:space="preserve"> </w:t>
      </w:r>
      <w:r w:rsidR="0046115A" w:rsidRPr="000F16C1">
        <w:t>de Secundaria</w:t>
      </w:r>
      <w:r w:rsidR="000F16C1" w:rsidRPr="000F16C1">
        <w:t xml:space="preserve"> S</w:t>
      </w:r>
      <w:r w:rsidR="00BB44AC" w:rsidRPr="000F16C1">
        <w:t xml:space="preserve">uperior y </w:t>
      </w:r>
      <w:r w:rsidR="000F16C1" w:rsidRPr="000F16C1">
        <w:t xml:space="preserve">volviendo a subir al </w:t>
      </w:r>
      <w:r w:rsidR="00C053CE">
        <w:t>27</w:t>
      </w:r>
      <w:r w:rsidR="00BB44AC" w:rsidRPr="000F16C1">
        <w:t xml:space="preserve"> % </w:t>
      </w:r>
      <w:r w:rsidR="000F16C1" w:rsidRPr="000F16C1">
        <w:lastRenderedPageBreak/>
        <w:t>de Educación T</w:t>
      </w:r>
      <w:r w:rsidR="00BB44AC" w:rsidRPr="000F16C1">
        <w:t xml:space="preserve">erciaria. </w:t>
      </w:r>
      <w:r w:rsidR="000F16C1" w:rsidRPr="000F16C1">
        <w:t>Situación casi opuesta a otros países europeos con un alto nivel de población con estudios técnicos medios.</w:t>
      </w:r>
    </w:p>
    <w:p w14:paraId="2CE74045" w14:textId="77777777" w:rsidR="000F16C1" w:rsidRDefault="000F16C1" w:rsidP="000F16C1">
      <w:pPr>
        <w:pStyle w:val="Prrafodelista"/>
      </w:pPr>
    </w:p>
    <w:p w14:paraId="3E995748" w14:textId="158D4114" w:rsidR="00BB44AC" w:rsidRPr="00F104E7" w:rsidRDefault="00BB44AC" w:rsidP="0017455D">
      <w:pPr>
        <w:pStyle w:val="Prrafodelista"/>
        <w:numPr>
          <w:ilvl w:val="0"/>
          <w:numId w:val="21"/>
        </w:numPr>
        <w:spacing w:line="240" w:lineRule="auto"/>
      </w:pPr>
      <w:r w:rsidRPr="00D27F68">
        <w:rPr>
          <w:b/>
          <w:bCs/>
        </w:rPr>
        <w:t>Es positiva la alta tasa de escolarización en educación infantil</w:t>
      </w:r>
      <w:r w:rsidRPr="0034233D">
        <w:t xml:space="preserve">. A los 5 años es </w:t>
      </w:r>
      <w:r w:rsidR="00D27F68" w:rsidRPr="00D27F68">
        <w:t>del 9</w:t>
      </w:r>
      <w:r w:rsidR="00972233">
        <w:t>9,8</w:t>
      </w:r>
      <w:r w:rsidR="00D27F68" w:rsidRPr="00D27F68">
        <w:t xml:space="preserve"> %</w:t>
      </w:r>
      <w:r w:rsidRPr="00D27F68">
        <w:t xml:space="preserve"> </w:t>
      </w:r>
      <w:r w:rsidR="00C35960" w:rsidRPr="0034233D">
        <w:t xml:space="preserve">y a los 2 años ya es del </w:t>
      </w:r>
      <w:r w:rsidR="00C71EE0">
        <w:t>46,5</w:t>
      </w:r>
      <w:r w:rsidR="00FF2096">
        <w:t xml:space="preserve"> % en Extremadura</w:t>
      </w:r>
      <w:r w:rsidR="00E908A6" w:rsidRPr="0034233D">
        <w:t xml:space="preserve"> </w:t>
      </w:r>
      <w:r w:rsidR="00E908A6">
        <w:t>en el curso 2016/2017.</w:t>
      </w:r>
      <w:r w:rsidR="00C35960" w:rsidRPr="00F104E7">
        <w:t xml:space="preserve"> En España la escolarización en educación infantil en niños de 5 años también es del 9</w:t>
      </w:r>
      <w:r w:rsidR="00D27F68">
        <w:t>7</w:t>
      </w:r>
      <w:r w:rsidR="00C35960" w:rsidRPr="00F104E7">
        <w:t>,</w:t>
      </w:r>
      <w:r w:rsidR="0034233D">
        <w:t>1</w:t>
      </w:r>
      <w:r w:rsidR="00C35960" w:rsidRPr="00F104E7">
        <w:t>% y del 5</w:t>
      </w:r>
      <w:r w:rsidR="00E908A6">
        <w:t>8</w:t>
      </w:r>
      <w:r w:rsidR="00C35960" w:rsidRPr="00F104E7">
        <w:t>,</w:t>
      </w:r>
      <w:r w:rsidR="00E908A6">
        <w:t>7</w:t>
      </w:r>
      <w:r w:rsidR="00C35960" w:rsidRPr="00F104E7">
        <w:t xml:space="preserve">% en niños de dos años. Así, tanto España como </w:t>
      </w:r>
      <w:r w:rsidR="00972233">
        <w:t xml:space="preserve">Extremadura </w:t>
      </w:r>
      <w:r w:rsidR="00C35960" w:rsidRPr="00F104E7">
        <w:t xml:space="preserve">están por encima de los objetivos de la Unión Europea en 2020, que se sitúan en </w:t>
      </w:r>
      <w:r w:rsidR="000F16C1" w:rsidRPr="00F104E7">
        <w:t xml:space="preserve">el </w:t>
      </w:r>
      <w:r w:rsidR="00C35960" w:rsidRPr="00F104E7">
        <w:t xml:space="preserve">95% </w:t>
      </w:r>
      <w:r w:rsidR="000F16C1" w:rsidRPr="00F104E7">
        <w:t xml:space="preserve">de escolarización en Educación Infantil. </w:t>
      </w:r>
    </w:p>
    <w:p w14:paraId="1BB6322F" w14:textId="77777777" w:rsidR="000F16C1" w:rsidRPr="000F16C1" w:rsidRDefault="000F16C1" w:rsidP="000F16C1">
      <w:pPr>
        <w:pStyle w:val="Prrafodelista"/>
        <w:rPr>
          <w:rFonts w:ascii="NovelPro-Light" w:hAnsi="NovelPro-Light" w:cs="NovelPro-Light"/>
          <w:sz w:val="19"/>
          <w:szCs w:val="19"/>
        </w:rPr>
      </w:pPr>
    </w:p>
    <w:p w14:paraId="37B0046D" w14:textId="77777777" w:rsidR="000F16C1" w:rsidRPr="000F16C1" w:rsidRDefault="000F16C1" w:rsidP="000F16C1">
      <w:pPr>
        <w:pStyle w:val="Prrafodelista"/>
        <w:autoSpaceDE w:val="0"/>
        <w:autoSpaceDN w:val="0"/>
        <w:adjustRightInd w:val="0"/>
        <w:spacing w:line="240" w:lineRule="auto"/>
        <w:ind w:left="1211" w:firstLine="0"/>
        <w:rPr>
          <w:rFonts w:ascii="NovelPro-Light" w:hAnsi="NovelPro-Light" w:cs="NovelPro-Light"/>
          <w:sz w:val="19"/>
          <w:szCs w:val="19"/>
        </w:rPr>
      </w:pPr>
    </w:p>
    <w:p w14:paraId="76A68AC8" w14:textId="7DAD6285" w:rsidR="00BB44AC" w:rsidRPr="00654651" w:rsidRDefault="00BB44AC" w:rsidP="0017455D">
      <w:pPr>
        <w:pStyle w:val="Prrafodelista"/>
        <w:numPr>
          <w:ilvl w:val="0"/>
          <w:numId w:val="21"/>
        </w:numPr>
        <w:autoSpaceDE w:val="0"/>
        <w:autoSpaceDN w:val="0"/>
        <w:adjustRightInd w:val="0"/>
        <w:spacing w:line="240" w:lineRule="auto"/>
        <w:rPr>
          <w:b/>
        </w:rPr>
      </w:pPr>
      <w:r w:rsidRPr="00A44BBA">
        <w:rPr>
          <w:b/>
        </w:rPr>
        <w:t>Tasa de idoneidad</w:t>
      </w:r>
      <w:r w:rsidRPr="00A44BBA">
        <w:t xml:space="preserve"> a los 15 años. A </w:t>
      </w:r>
      <w:r>
        <w:t>los 15 años, edad teórica de fi</w:t>
      </w:r>
      <w:r w:rsidRPr="00A44BBA">
        <w:t xml:space="preserve">nalización de la Educación Secundaria Obligatoria, </w:t>
      </w:r>
      <w:r>
        <w:t xml:space="preserve">la tasa de idoneidad </w:t>
      </w:r>
      <w:r w:rsidR="00DA6CEE">
        <w:t xml:space="preserve">en España </w:t>
      </w:r>
      <w:r>
        <w:t>era del 6</w:t>
      </w:r>
      <w:r w:rsidR="00DA6CEE">
        <w:t>8</w:t>
      </w:r>
      <w:r>
        <w:t>,</w:t>
      </w:r>
      <w:r w:rsidR="00DA6CEE">
        <w:t>6</w:t>
      </w:r>
      <w:r>
        <w:t>%</w:t>
      </w:r>
      <w:r w:rsidR="00AF2E01">
        <w:t xml:space="preserve"> </w:t>
      </w:r>
      <w:r w:rsidR="00AF2E01" w:rsidRPr="00A37E09">
        <w:t xml:space="preserve">(3 puntos por encima del curso </w:t>
      </w:r>
      <w:r w:rsidR="002B642E" w:rsidRPr="00A37E09">
        <w:t>anterior)</w:t>
      </w:r>
      <w:r w:rsidR="002B642E" w:rsidRPr="002B642E">
        <w:rPr>
          <w:color w:val="0070C0"/>
        </w:rPr>
        <w:t xml:space="preserve"> </w:t>
      </w:r>
      <w:r w:rsidR="002B642E">
        <w:t>en</w:t>
      </w:r>
      <w:r>
        <w:t xml:space="preserve"> el curso 201</w:t>
      </w:r>
      <w:r w:rsidR="00AF2E01">
        <w:t>6</w:t>
      </w:r>
      <w:r>
        <w:t>-201</w:t>
      </w:r>
      <w:r w:rsidR="00AF2E01">
        <w:t>7</w:t>
      </w:r>
      <w:r w:rsidRPr="00A44BBA">
        <w:t>. No obstante, se observan diferencias territoriales sustantivas en dicha tasa</w:t>
      </w:r>
      <w:r>
        <w:t xml:space="preserve">. </w:t>
      </w:r>
      <w:r w:rsidRPr="00654651">
        <w:rPr>
          <w:b/>
        </w:rPr>
        <w:t xml:space="preserve">En concreto </w:t>
      </w:r>
      <w:r w:rsidR="00DA6CEE">
        <w:rPr>
          <w:b/>
        </w:rPr>
        <w:t>Extremadura</w:t>
      </w:r>
      <w:r w:rsidRPr="00654651">
        <w:rPr>
          <w:b/>
        </w:rPr>
        <w:t xml:space="preserve"> alcanza un</w:t>
      </w:r>
      <w:r>
        <w:rPr>
          <w:b/>
        </w:rPr>
        <w:t xml:space="preserve"> 6</w:t>
      </w:r>
      <w:r w:rsidR="00DA6CEE">
        <w:rPr>
          <w:b/>
        </w:rPr>
        <w:t>7</w:t>
      </w:r>
      <w:r>
        <w:rPr>
          <w:b/>
        </w:rPr>
        <w:t>,</w:t>
      </w:r>
      <w:r w:rsidR="00834D95">
        <w:rPr>
          <w:b/>
        </w:rPr>
        <w:t>2</w:t>
      </w:r>
      <w:r w:rsidRPr="00654651">
        <w:rPr>
          <w:b/>
        </w:rPr>
        <w:t xml:space="preserve"> %</w:t>
      </w:r>
      <w:r w:rsidR="002B642E">
        <w:rPr>
          <w:b/>
        </w:rPr>
        <w:t xml:space="preserve"> (</w:t>
      </w:r>
      <w:r w:rsidR="00834D95">
        <w:rPr>
          <w:b/>
        </w:rPr>
        <w:t>4,2</w:t>
      </w:r>
      <w:r w:rsidR="002B642E">
        <w:rPr>
          <w:b/>
        </w:rPr>
        <w:t xml:space="preserve"> por encima del curso anterior</w:t>
      </w:r>
      <w:r w:rsidR="00D23CF5">
        <w:rPr>
          <w:b/>
        </w:rPr>
        <w:t xml:space="preserve"> y 11,2 puntos mejor que hace 5 años</w:t>
      </w:r>
      <w:r w:rsidR="002B642E">
        <w:rPr>
          <w:b/>
        </w:rPr>
        <w:t>)</w:t>
      </w:r>
      <w:r w:rsidR="00A37E09">
        <w:rPr>
          <w:b/>
        </w:rPr>
        <w:t>.</w:t>
      </w:r>
      <w:r w:rsidRPr="00654651">
        <w:rPr>
          <w:b/>
        </w:rPr>
        <w:t xml:space="preserve"> La mayoría de debe a la repetición.</w:t>
      </w:r>
    </w:p>
    <w:p w14:paraId="6E271BE8" w14:textId="77777777" w:rsidR="00BB44AC" w:rsidRDefault="00BB44AC" w:rsidP="005E1C30">
      <w:pPr>
        <w:pStyle w:val="Prrafodelista"/>
        <w:spacing w:line="240" w:lineRule="auto"/>
        <w:ind w:left="1069" w:firstLine="0"/>
      </w:pPr>
    </w:p>
    <w:p w14:paraId="6D6679DB" w14:textId="1C043E23" w:rsidR="00BB44AC" w:rsidRPr="002B642E" w:rsidRDefault="00BB44AC" w:rsidP="0017455D">
      <w:pPr>
        <w:pStyle w:val="Prrafodelista"/>
        <w:numPr>
          <w:ilvl w:val="0"/>
          <w:numId w:val="21"/>
        </w:numPr>
        <w:autoSpaceDE w:val="0"/>
        <w:autoSpaceDN w:val="0"/>
        <w:adjustRightInd w:val="0"/>
        <w:spacing w:line="240" w:lineRule="auto"/>
        <w:rPr>
          <w:color w:val="0070C0"/>
        </w:rPr>
      </w:pPr>
      <w:r w:rsidRPr="00A44BBA">
        <w:rPr>
          <w:b/>
        </w:rPr>
        <w:t xml:space="preserve"> </w:t>
      </w:r>
      <w:r>
        <w:t>L</w:t>
      </w:r>
      <w:r w:rsidRPr="00A44BBA">
        <w:t xml:space="preserve">os </w:t>
      </w:r>
      <w:r w:rsidRPr="00A44BBA">
        <w:rPr>
          <w:b/>
        </w:rPr>
        <w:t>repetidores</w:t>
      </w:r>
      <w:r>
        <w:t xml:space="preserve"> en España alcanzan una tasa de un 3</w:t>
      </w:r>
      <w:r w:rsidR="002B642E">
        <w:t>1</w:t>
      </w:r>
      <w:r>
        <w:t>,4</w:t>
      </w:r>
      <w:r w:rsidR="00F104E7">
        <w:t>% a los 15 años. S</w:t>
      </w:r>
      <w:r w:rsidRPr="00A44BBA">
        <w:t>e acelera a medida que aumenta el tiempo</w:t>
      </w:r>
      <w:r w:rsidR="00F104E7">
        <w:t xml:space="preserve"> que pasan en la escuela: el</w:t>
      </w:r>
      <w:r>
        <w:t xml:space="preserve"> 3</w:t>
      </w:r>
      <w:r w:rsidR="002B642E">
        <w:t>1</w:t>
      </w:r>
      <w:r>
        <w:t>,4</w:t>
      </w:r>
      <w:r w:rsidRPr="00A44BBA">
        <w:t xml:space="preserve">% retrasado en 4º de la ESO se compone de un </w:t>
      </w:r>
      <w:r>
        <w:t>15,</w:t>
      </w:r>
      <w:r w:rsidR="002B642E">
        <w:t>1</w:t>
      </w:r>
      <w:r w:rsidRPr="00A44BBA">
        <w:t>% que se retra</w:t>
      </w:r>
      <w:r>
        <w:t>só ya en Primaria y un 1</w:t>
      </w:r>
      <w:r w:rsidR="002B642E">
        <w:t>6</w:t>
      </w:r>
      <w:r>
        <w:t>,</w:t>
      </w:r>
      <w:r w:rsidR="002B642E">
        <w:t>4</w:t>
      </w:r>
      <w:r w:rsidRPr="00A44BBA">
        <w:t>% que se retrasó en la ESO</w:t>
      </w:r>
      <w:r w:rsidRPr="002B642E">
        <w:rPr>
          <w:color w:val="0070C0"/>
        </w:rPr>
        <w:t xml:space="preserve">. </w:t>
      </w:r>
      <w:r w:rsidRPr="00A37E09">
        <w:rPr>
          <w:b/>
        </w:rPr>
        <w:t xml:space="preserve">En </w:t>
      </w:r>
      <w:r w:rsidR="00834D95" w:rsidRPr="00A37E09">
        <w:rPr>
          <w:b/>
        </w:rPr>
        <w:t>Extremadura</w:t>
      </w:r>
      <w:r w:rsidRPr="00A37E09">
        <w:rPr>
          <w:b/>
        </w:rPr>
        <w:t xml:space="preserve"> el retraso a los 15 años es del 3</w:t>
      </w:r>
      <w:r w:rsidR="00834D95" w:rsidRPr="00A37E09">
        <w:rPr>
          <w:b/>
        </w:rPr>
        <w:t>2</w:t>
      </w:r>
      <w:r w:rsidRPr="00A37E09">
        <w:rPr>
          <w:b/>
        </w:rPr>
        <w:t>,</w:t>
      </w:r>
      <w:r w:rsidR="00834D95" w:rsidRPr="00A37E09">
        <w:rPr>
          <w:b/>
        </w:rPr>
        <w:t>8</w:t>
      </w:r>
      <w:r w:rsidRPr="00A37E09">
        <w:rPr>
          <w:b/>
        </w:rPr>
        <w:t>%.</w:t>
      </w:r>
      <w:r w:rsidR="00D23CF5">
        <w:rPr>
          <w:b/>
        </w:rPr>
        <w:t xml:space="preserve"> Hace 5 años era del 44,6%.</w:t>
      </w:r>
    </w:p>
    <w:p w14:paraId="0F5DBA07" w14:textId="77777777" w:rsidR="00BB44AC" w:rsidRDefault="00BB44AC" w:rsidP="005E1C30">
      <w:pPr>
        <w:pStyle w:val="Prrafodelista"/>
        <w:spacing w:line="240" w:lineRule="auto"/>
        <w:ind w:left="1069" w:firstLine="0"/>
      </w:pPr>
    </w:p>
    <w:p w14:paraId="01F12171" w14:textId="37CF992C" w:rsidR="00BB44AC" w:rsidRPr="00D23CF5" w:rsidRDefault="00BB44AC" w:rsidP="0017455D">
      <w:pPr>
        <w:pStyle w:val="Prrafodelista"/>
        <w:numPr>
          <w:ilvl w:val="0"/>
          <w:numId w:val="21"/>
        </w:numPr>
        <w:autoSpaceDE w:val="0"/>
        <w:autoSpaceDN w:val="0"/>
        <w:adjustRightInd w:val="0"/>
        <w:spacing w:line="240" w:lineRule="auto"/>
        <w:rPr>
          <w:b/>
        </w:rPr>
      </w:pPr>
      <w:r>
        <w:t xml:space="preserve">En general, el </w:t>
      </w:r>
      <w:r w:rsidR="00090741">
        <w:t>71</w:t>
      </w:r>
      <w:r>
        <w:t xml:space="preserve">,4% de los jóvenes entre 20 y 29 años ha completado al menos la </w:t>
      </w:r>
      <w:r w:rsidRPr="0017455D">
        <w:rPr>
          <w:b/>
        </w:rPr>
        <w:t>segunda etapa de la Educación Secundaria</w:t>
      </w:r>
      <w:r>
        <w:t xml:space="preserve"> en España. Los porcentajes más altos se observan en el País Vasco</w:t>
      </w:r>
      <w:r w:rsidR="00090741">
        <w:t xml:space="preserve"> (85,6%)</w:t>
      </w:r>
      <w:r>
        <w:t>, Cantabria, Navarra, Asturias y Madrid, todos ellos superiores al 75%. Los más bajos se observan en Ceuta y Melilla, Castilla La Mancha, Baleares</w:t>
      </w:r>
      <w:r w:rsidR="00834D95">
        <w:t xml:space="preserve">. </w:t>
      </w:r>
      <w:r w:rsidR="00834D95" w:rsidRPr="0017455D">
        <w:rPr>
          <w:b/>
          <w:bCs/>
        </w:rPr>
        <w:t xml:space="preserve">Extremadura es la penúltima con un 64,3 % </w:t>
      </w:r>
      <w:r w:rsidR="00834D95">
        <w:t>seguida de Andalucía</w:t>
      </w:r>
      <w:r w:rsidR="002B642E" w:rsidRPr="0017455D">
        <w:rPr>
          <w:bCs/>
        </w:rPr>
        <w:t xml:space="preserve"> con el 64,7</w:t>
      </w:r>
      <w:r w:rsidR="00090741" w:rsidRPr="0017455D">
        <w:rPr>
          <w:bCs/>
        </w:rPr>
        <w:t>%</w:t>
      </w:r>
      <w:r w:rsidR="00D23CF5">
        <w:rPr>
          <w:bCs/>
        </w:rPr>
        <w:t>.</w:t>
      </w:r>
      <w:r w:rsidR="00D23CF5" w:rsidRPr="00D23CF5">
        <w:rPr>
          <w:b/>
        </w:rPr>
        <w:t xml:space="preserve"> Hace 5 años era el 55,3%.</w:t>
      </w:r>
    </w:p>
    <w:p w14:paraId="0366ABD0" w14:textId="77777777" w:rsidR="00BB44AC" w:rsidRPr="0046115A" w:rsidRDefault="00BB44AC" w:rsidP="0046115A">
      <w:pPr>
        <w:spacing w:line="240" w:lineRule="auto"/>
        <w:ind w:firstLine="0"/>
        <w:rPr>
          <w:b/>
        </w:rPr>
      </w:pPr>
    </w:p>
    <w:p w14:paraId="14DA023D" w14:textId="77777777" w:rsidR="00BB44AC" w:rsidRPr="008653A3" w:rsidRDefault="00BB44AC" w:rsidP="005E1C30">
      <w:pPr>
        <w:pStyle w:val="Prrafodelista"/>
        <w:spacing w:line="240" w:lineRule="auto"/>
        <w:rPr>
          <w:b/>
          <w:color w:val="FF0000"/>
        </w:rPr>
      </w:pPr>
    </w:p>
    <w:p w14:paraId="0A949011" w14:textId="25D68549" w:rsidR="00BB44AC" w:rsidRPr="00103A4E" w:rsidRDefault="00BB44AC" w:rsidP="00103A4E">
      <w:pPr>
        <w:pStyle w:val="Prrafodelista"/>
        <w:numPr>
          <w:ilvl w:val="0"/>
          <w:numId w:val="21"/>
        </w:numPr>
        <w:autoSpaceDE w:val="0"/>
        <w:autoSpaceDN w:val="0"/>
        <w:adjustRightInd w:val="0"/>
        <w:spacing w:line="240" w:lineRule="auto"/>
      </w:pPr>
      <w:r w:rsidRPr="00103A4E">
        <w:rPr>
          <w:b/>
        </w:rPr>
        <w:t xml:space="preserve"> </w:t>
      </w:r>
      <w:r w:rsidRPr="00F104E7">
        <w:t>En el curso 201</w:t>
      </w:r>
      <w:r w:rsidR="005F46E9">
        <w:t>6</w:t>
      </w:r>
      <w:r w:rsidRPr="00F104E7">
        <w:t>/201</w:t>
      </w:r>
      <w:r w:rsidR="005F46E9">
        <w:t>7</w:t>
      </w:r>
      <w:r w:rsidRPr="00F104E7">
        <w:t xml:space="preserve"> el total de alumnado matriculado en FP en </w:t>
      </w:r>
      <w:r w:rsidR="00834D95">
        <w:t>Extremadura</w:t>
      </w:r>
      <w:r w:rsidRPr="00F104E7">
        <w:t xml:space="preserve"> era de </w:t>
      </w:r>
      <w:r w:rsidR="00834D95">
        <w:t>19.</w:t>
      </w:r>
      <w:r w:rsidR="00744970">
        <w:t>263</w:t>
      </w:r>
      <w:r w:rsidRPr="00F104E7">
        <w:t xml:space="preserve"> y en régimen dual </w:t>
      </w:r>
      <w:r w:rsidR="0015176A">
        <w:t>150</w:t>
      </w:r>
      <w:r w:rsidRPr="00F104E7">
        <w:t xml:space="preserve">, tan solo un </w:t>
      </w:r>
      <w:r w:rsidR="0015176A">
        <w:t>0,8</w:t>
      </w:r>
      <w:r w:rsidRPr="00F104E7">
        <w:t xml:space="preserve"> del total. </w:t>
      </w:r>
      <w:r w:rsidR="00090741">
        <w:t>En</w:t>
      </w:r>
      <w:r w:rsidRPr="00F104E7">
        <w:t xml:space="preserve"> el curso 2018/19 en España </w:t>
      </w:r>
      <w:r w:rsidR="00A03F8D">
        <w:t>hay</w:t>
      </w:r>
      <w:r w:rsidRPr="00F104E7">
        <w:t xml:space="preserve"> un aumento de la FP de </w:t>
      </w:r>
      <w:r w:rsidR="00A03F8D">
        <w:t>25.640</w:t>
      </w:r>
      <w:r w:rsidRPr="00F104E7">
        <w:t xml:space="preserve"> alumnos, llegando a </w:t>
      </w:r>
      <w:r w:rsidR="00103A4E" w:rsidRPr="00F104E7">
        <w:t>8</w:t>
      </w:r>
      <w:r w:rsidR="00103A4E">
        <w:t>38.764.</w:t>
      </w:r>
      <w:r w:rsidR="005F46E9">
        <w:t xml:space="preserve"> </w:t>
      </w:r>
      <w:r w:rsidR="00103A4E">
        <w:t>Extremadura</w:t>
      </w:r>
      <w:r w:rsidR="00B1318C" w:rsidRPr="00B1318C">
        <w:t xml:space="preserve"> tiene 1</w:t>
      </w:r>
      <w:r w:rsidR="005F46E9">
        <w:t>8</w:t>
      </w:r>
      <w:r w:rsidR="00B1318C" w:rsidRPr="00B1318C">
        <w:t>.809 alumnos</w:t>
      </w:r>
      <w:r w:rsidR="005F46E9">
        <w:t>, de los que 2.275 están en FP Básica, 7.830 en grado medio y 8.704 en grado superior.</w:t>
      </w:r>
    </w:p>
    <w:p w14:paraId="6CE9069C" w14:textId="77777777" w:rsidR="002179C9" w:rsidRDefault="002179C9" w:rsidP="002179C9">
      <w:pPr>
        <w:pStyle w:val="Prrafodelista"/>
        <w:spacing w:line="240" w:lineRule="auto"/>
        <w:ind w:left="993" w:firstLine="0"/>
        <w:rPr>
          <w:color w:val="FF0000"/>
        </w:rPr>
      </w:pPr>
    </w:p>
    <w:p w14:paraId="15C8DA4A" w14:textId="77777777" w:rsidR="00103A4E" w:rsidRPr="00103A4E" w:rsidRDefault="002179C9" w:rsidP="00A37E09">
      <w:pPr>
        <w:pStyle w:val="Prrafodelista"/>
        <w:numPr>
          <w:ilvl w:val="0"/>
          <w:numId w:val="21"/>
        </w:numPr>
        <w:spacing w:line="240" w:lineRule="auto"/>
      </w:pPr>
      <w:r w:rsidRPr="00103A4E">
        <w:rPr>
          <w:bCs/>
        </w:rPr>
        <w:t xml:space="preserve">Las tasas brutas de escolarización y titulación de FP en </w:t>
      </w:r>
      <w:r w:rsidR="0017455D" w:rsidRPr="00103A4E">
        <w:rPr>
          <w:bCs/>
        </w:rPr>
        <w:t>Extremadura</w:t>
      </w:r>
      <w:r w:rsidRPr="00103A4E">
        <w:rPr>
          <w:bCs/>
        </w:rPr>
        <w:t xml:space="preserve"> nos muestran unos datos bajos en comparación con </w:t>
      </w:r>
      <w:r w:rsidRPr="00103A4E">
        <w:rPr>
          <w:bCs/>
        </w:rPr>
        <w:lastRenderedPageBreak/>
        <w:t xml:space="preserve">otras regiones. En cuanto a la escolarización lo hacen el </w:t>
      </w:r>
      <w:r w:rsidR="0017455D" w:rsidRPr="00103A4E">
        <w:rPr>
          <w:bCs/>
        </w:rPr>
        <w:t>11</w:t>
      </w:r>
      <w:r w:rsidRPr="00103A4E">
        <w:rPr>
          <w:bCs/>
        </w:rPr>
        <w:t>%,</w:t>
      </w:r>
      <w:r w:rsidR="0017455D" w:rsidRPr="00103A4E">
        <w:rPr>
          <w:bCs/>
        </w:rPr>
        <w:t xml:space="preserve"> </w:t>
      </w:r>
      <w:r w:rsidRPr="00103A4E">
        <w:rPr>
          <w:bCs/>
        </w:rPr>
        <w:t>3</w:t>
      </w:r>
      <w:r w:rsidR="0017455D" w:rsidRPr="00103A4E">
        <w:rPr>
          <w:bCs/>
        </w:rPr>
        <w:t>3</w:t>
      </w:r>
      <w:r w:rsidRPr="00103A4E">
        <w:rPr>
          <w:bCs/>
        </w:rPr>
        <w:t>,</w:t>
      </w:r>
      <w:r w:rsidR="0017455D" w:rsidRPr="00103A4E">
        <w:rPr>
          <w:bCs/>
        </w:rPr>
        <w:t>8</w:t>
      </w:r>
      <w:r w:rsidRPr="00103A4E">
        <w:rPr>
          <w:bCs/>
        </w:rPr>
        <w:t>% y 3</w:t>
      </w:r>
      <w:r w:rsidR="0017455D" w:rsidRPr="00103A4E">
        <w:rPr>
          <w:bCs/>
        </w:rPr>
        <w:t>4,9</w:t>
      </w:r>
      <w:r w:rsidRPr="00103A4E">
        <w:rPr>
          <w:bCs/>
        </w:rPr>
        <w:t>% en FP Básica, Grado medio y Grado superior</w:t>
      </w:r>
      <w:r w:rsidRPr="00103A4E">
        <w:rPr>
          <w:b/>
        </w:rPr>
        <w:t xml:space="preserve"> </w:t>
      </w:r>
      <w:r w:rsidRPr="00103A4E">
        <w:rPr>
          <w:bCs/>
        </w:rPr>
        <w:t>respectivamente. Por lo que se</w:t>
      </w:r>
      <w:r w:rsidRPr="002179C9">
        <w:rPr>
          <w:color w:val="FF0000"/>
        </w:rPr>
        <w:t xml:space="preserve"> </w:t>
      </w:r>
      <w:r w:rsidRPr="00103A4E">
        <w:t xml:space="preserve">refiere a la tasa de titulación, lo hacen el </w:t>
      </w:r>
      <w:r w:rsidR="00103A4E" w:rsidRPr="00103A4E">
        <w:t>5,8</w:t>
      </w:r>
      <w:r w:rsidRPr="00103A4E">
        <w:t>%, 2</w:t>
      </w:r>
      <w:r w:rsidR="00103A4E" w:rsidRPr="00103A4E">
        <w:t>3</w:t>
      </w:r>
      <w:r w:rsidRPr="00103A4E">
        <w:t>,</w:t>
      </w:r>
      <w:r w:rsidR="00103A4E" w:rsidRPr="00103A4E">
        <w:t>8</w:t>
      </w:r>
      <w:r w:rsidRPr="00103A4E">
        <w:t>% y 2</w:t>
      </w:r>
      <w:r w:rsidR="00103A4E" w:rsidRPr="00103A4E">
        <w:t>4</w:t>
      </w:r>
      <w:r w:rsidRPr="00103A4E">
        <w:t>,</w:t>
      </w:r>
      <w:r w:rsidR="00103A4E" w:rsidRPr="00103A4E">
        <w:t>5</w:t>
      </w:r>
      <w:r w:rsidRPr="00103A4E">
        <w:t>% en el mismo orden de enseñanzas anterior.</w:t>
      </w:r>
    </w:p>
    <w:p w14:paraId="6EF9A75D" w14:textId="765AD5CC" w:rsidR="002179C9" w:rsidRPr="00103A4E" w:rsidRDefault="002179C9" w:rsidP="00103A4E">
      <w:pPr>
        <w:ind w:firstLine="0"/>
      </w:pPr>
      <w:r w:rsidRPr="00103A4E">
        <w:t xml:space="preserve"> </w:t>
      </w:r>
    </w:p>
    <w:p w14:paraId="55124E25" w14:textId="77777777" w:rsidR="002179C9" w:rsidRPr="00103A4E" w:rsidRDefault="002179C9" w:rsidP="0017455D">
      <w:pPr>
        <w:pStyle w:val="Prrafodelista"/>
        <w:numPr>
          <w:ilvl w:val="0"/>
          <w:numId w:val="21"/>
        </w:numPr>
        <w:spacing w:line="240" w:lineRule="auto"/>
      </w:pPr>
      <w:r w:rsidRPr="00103A4E">
        <w:t>En España, la tasa bruta de graduación en Bachillerato, con un 56,2%, superó en 31,4 puntos la tasa registrada en las enseñanzas de Formación Profesional (24,8%).</w:t>
      </w:r>
    </w:p>
    <w:p w14:paraId="0D8F411C" w14:textId="77777777" w:rsidR="002179C9" w:rsidRPr="0017455D" w:rsidRDefault="002179C9" w:rsidP="0017455D">
      <w:pPr>
        <w:spacing w:line="240" w:lineRule="auto"/>
        <w:ind w:firstLine="0"/>
        <w:rPr>
          <w:color w:val="FF0000"/>
        </w:rPr>
      </w:pPr>
    </w:p>
    <w:p w14:paraId="386A28A2" w14:textId="77777777" w:rsidR="00BB44AC" w:rsidRPr="00BD514A" w:rsidRDefault="00BB44AC" w:rsidP="00BD514A">
      <w:pPr>
        <w:spacing w:line="240" w:lineRule="auto"/>
        <w:ind w:firstLine="0"/>
        <w:rPr>
          <w:b/>
          <w:color w:val="FF0000"/>
        </w:rPr>
      </w:pPr>
    </w:p>
    <w:p w14:paraId="5BA5AEFC" w14:textId="77777777" w:rsidR="00BB44AC" w:rsidRDefault="00BB44AC" w:rsidP="005E1C30">
      <w:pPr>
        <w:pStyle w:val="Prrafodelista"/>
        <w:spacing w:line="240" w:lineRule="auto"/>
        <w:ind w:left="1069" w:firstLine="0"/>
        <w:rPr>
          <w:b/>
        </w:rPr>
      </w:pPr>
    </w:p>
    <w:p w14:paraId="7E36D51B" w14:textId="77777777" w:rsidR="00BB44AC" w:rsidRPr="0017455D" w:rsidRDefault="00BB44AC" w:rsidP="0017455D">
      <w:pPr>
        <w:spacing w:line="240" w:lineRule="auto"/>
        <w:rPr>
          <w:b/>
        </w:rPr>
      </w:pPr>
      <w:r w:rsidRPr="0017455D">
        <w:rPr>
          <w:b/>
        </w:rPr>
        <w:t>RECURSOS</w:t>
      </w:r>
    </w:p>
    <w:p w14:paraId="189A6BAA" w14:textId="77777777" w:rsidR="00BB44AC" w:rsidRDefault="00BB44AC" w:rsidP="005E1C30">
      <w:pPr>
        <w:pStyle w:val="Prrafodelista"/>
        <w:spacing w:line="240" w:lineRule="auto"/>
      </w:pPr>
    </w:p>
    <w:p w14:paraId="77212029" w14:textId="77777777" w:rsidR="00BB44AC" w:rsidRDefault="00BB44AC" w:rsidP="005E1C30">
      <w:pPr>
        <w:spacing w:line="240" w:lineRule="auto"/>
        <w:ind w:firstLine="0"/>
      </w:pPr>
    </w:p>
    <w:p w14:paraId="4CDBC911" w14:textId="1C7DB08A" w:rsidR="00BB44AC" w:rsidRDefault="00BB44AC" w:rsidP="0017455D">
      <w:pPr>
        <w:pStyle w:val="Prrafodelista"/>
        <w:numPr>
          <w:ilvl w:val="0"/>
          <w:numId w:val="21"/>
        </w:numPr>
        <w:spacing w:line="240" w:lineRule="auto"/>
      </w:pPr>
      <w:r>
        <w:t xml:space="preserve">El porcentaje de </w:t>
      </w:r>
      <w:r w:rsidRPr="00AA1B0B">
        <w:rPr>
          <w:b/>
        </w:rPr>
        <w:t>gasto público</w:t>
      </w:r>
      <w:r>
        <w:t xml:space="preserve"> en educación sobre el PIB aumentó desde el 4,31% de 2006 hasta el 4,99% de 2009. Desde entonces descendió, hasta el 4,32% de 2014</w:t>
      </w:r>
      <w:r w:rsidR="00A350B6">
        <w:t xml:space="preserve">. El </w:t>
      </w:r>
      <w:r w:rsidR="001112C7">
        <w:t>PIB para</w:t>
      </w:r>
      <w:r>
        <w:t xml:space="preserve"> el año 2017 </w:t>
      </w:r>
      <w:r w:rsidR="00A350B6">
        <w:t xml:space="preserve">se sitúa en </w:t>
      </w:r>
      <w:r>
        <w:t>el 4,2</w:t>
      </w:r>
      <w:r w:rsidR="00A350B6">
        <w:t>4</w:t>
      </w:r>
      <w:r>
        <w:t>%. El análisis comparativo internacional muestra que en 201</w:t>
      </w:r>
      <w:r w:rsidR="00A350B6">
        <w:t>5</w:t>
      </w:r>
      <w:r>
        <w:t xml:space="preserve"> el gasto público español en porcentaje del PIB fue un 4,1</w:t>
      </w:r>
      <w:r w:rsidR="001112C7">
        <w:t>6</w:t>
      </w:r>
      <w:r>
        <w:t xml:space="preserve">%, se situaba </w:t>
      </w:r>
      <w:r w:rsidR="001112C7">
        <w:t>a 0,88</w:t>
      </w:r>
      <w:r>
        <w:t xml:space="preserve"> punto</w:t>
      </w:r>
      <w:r w:rsidR="001112C7">
        <w:t>s</w:t>
      </w:r>
      <w:r>
        <w:t xml:space="preserve"> por debajo del promedio de los 28 países de la UE </w:t>
      </w:r>
      <w:r w:rsidR="001112C7">
        <w:t>5,04.</w:t>
      </w:r>
      <w:r>
        <w:t xml:space="preserve"> (En los datos de Eurostat no se contabilizan los gastos financieros). </w:t>
      </w:r>
    </w:p>
    <w:p w14:paraId="26BD7AE7" w14:textId="77777777" w:rsidR="00BB44AC" w:rsidRDefault="00BB44AC" w:rsidP="005E1C30">
      <w:pPr>
        <w:pStyle w:val="Prrafodelista"/>
        <w:spacing w:line="240" w:lineRule="auto"/>
      </w:pPr>
      <w:bookmarkStart w:id="0" w:name="_GoBack"/>
    </w:p>
    <w:p w14:paraId="56DB37D5" w14:textId="5437E09F" w:rsidR="00BB44AC" w:rsidRDefault="00BB44AC" w:rsidP="005E1C30">
      <w:pPr>
        <w:pStyle w:val="Prrafodelista"/>
        <w:numPr>
          <w:ilvl w:val="0"/>
          <w:numId w:val="21"/>
        </w:numPr>
        <w:spacing w:line="240" w:lineRule="auto"/>
      </w:pPr>
      <w:bookmarkStart w:id="1" w:name="_Hlk20915382"/>
      <w:bookmarkEnd w:id="0"/>
      <w:r>
        <w:t xml:space="preserve">El gasto público por alumno en centros públicos. </w:t>
      </w:r>
      <w:r w:rsidR="00744970">
        <w:t>Extremadura</w:t>
      </w:r>
      <w:r w:rsidR="00C35960" w:rsidRPr="00944746">
        <w:t xml:space="preserve"> tiene un gasto público por alumno en centros públicos de</w:t>
      </w:r>
      <w:r w:rsidRPr="00944746">
        <w:t xml:space="preserve"> </w:t>
      </w:r>
      <w:r w:rsidR="00744970">
        <w:t>6.341</w:t>
      </w:r>
      <w:r w:rsidRPr="00944746">
        <w:t xml:space="preserve"> € </w:t>
      </w:r>
      <w:r w:rsidR="0085783B">
        <w:t>superior a</w:t>
      </w:r>
      <w:r w:rsidRPr="00944746">
        <w:t xml:space="preserve"> la media nacional</w:t>
      </w:r>
      <w:r w:rsidR="00C35960" w:rsidRPr="00944746">
        <w:t xml:space="preserve"> </w:t>
      </w:r>
      <w:r w:rsidR="00944746" w:rsidRPr="00944746">
        <w:t>que se sitúa en 5.</w:t>
      </w:r>
      <w:r w:rsidR="001112C7">
        <w:t>607</w:t>
      </w:r>
      <w:r w:rsidR="00944746" w:rsidRPr="00944746">
        <w:t xml:space="preserve"> €</w:t>
      </w:r>
      <w:r w:rsidRPr="00944746">
        <w:t>.</w:t>
      </w:r>
      <w:r w:rsidR="0085783B">
        <w:t xml:space="preserve"> </w:t>
      </w:r>
    </w:p>
    <w:bookmarkEnd w:id="1"/>
    <w:p w14:paraId="7EB10C79" w14:textId="77777777" w:rsidR="00E31BA7" w:rsidRDefault="00E31BA7" w:rsidP="00E31BA7">
      <w:pPr>
        <w:spacing w:line="240" w:lineRule="auto"/>
        <w:ind w:firstLine="0"/>
      </w:pPr>
    </w:p>
    <w:p w14:paraId="32F9DDAA" w14:textId="2BDB63B2" w:rsidR="00BB44AC" w:rsidRDefault="00BB44AC" w:rsidP="0017455D">
      <w:pPr>
        <w:pStyle w:val="Prrafodelista"/>
        <w:numPr>
          <w:ilvl w:val="0"/>
          <w:numId w:val="21"/>
        </w:numPr>
        <w:spacing w:line="240" w:lineRule="auto"/>
      </w:pPr>
      <w:r>
        <w:t>No se puede comparar con la privada concertada pues aparece agregada a la pública siendo</w:t>
      </w:r>
      <w:r w:rsidR="00944746">
        <w:t xml:space="preserve"> en </w:t>
      </w:r>
      <w:r w:rsidR="0085783B">
        <w:t>Extremadura</w:t>
      </w:r>
      <w:r w:rsidR="001112C7">
        <w:t xml:space="preserve"> de</w:t>
      </w:r>
      <w:r>
        <w:t xml:space="preserve"> </w:t>
      </w:r>
      <w:r w:rsidR="0085783B">
        <w:t>5.678</w:t>
      </w:r>
      <w:r>
        <w:t xml:space="preserve"> €, </w:t>
      </w:r>
      <w:r w:rsidR="00200D93">
        <w:t>superior</w:t>
      </w:r>
      <w:r>
        <w:t xml:space="preserve"> a la media nacional en </w:t>
      </w:r>
      <w:r w:rsidR="00200D93">
        <w:t>79</w:t>
      </w:r>
      <w:r>
        <w:t xml:space="preserve"> €. </w:t>
      </w:r>
      <w:r w:rsidR="00944746">
        <w:t xml:space="preserve">Es necesario realizar </w:t>
      </w:r>
      <w:r w:rsidR="001112C7">
        <w:t>un serio</w:t>
      </w:r>
      <w:r>
        <w:t xml:space="preserve"> estudio</w:t>
      </w:r>
      <w:r w:rsidR="00944746">
        <w:t xml:space="preserve"> de costes pública y concertada pendiente desde hace años y exigido en una disposición adicional de la LOE.</w:t>
      </w:r>
    </w:p>
    <w:p w14:paraId="5E553193" w14:textId="77777777" w:rsidR="00630BD9" w:rsidRDefault="00630BD9" w:rsidP="00630BD9">
      <w:pPr>
        <w:pStyle w:val="Prrafodelista"/>
      </w:pPr>
    </w:p>
    <w:p w14:paraId="36B9A331" w14:textId="77777777" w:rsidR="00BB44AC" w:rsidRDefault="00BB44AC" w:rsidP="005E1C30">
      <w:pPr>
        <w:pStyle w:val="Prrafodelista"/>
        <w:spacing w:line="240" w:lineRule="auto"/>
      </w:pPr>
    </w:p>
    <w:p w14:paraId="0AB65FE0" w14:textId="1797BFF2" w:rsidR="00BB44AC" w:rsidRDefault="00BB44AC" w:rsidP="0017455D">
      <w:pPr>
        <w:pStyle w:val="Prrafodelista"/>
        <w:numPr>
          <w:ilvl w:val="0"/>
          <w:numId w:val="21"/>
        </w:numPr>
        <w:spacing w:line="240" w:lineRule="auto"/>
      </w:pPr>
      <w:bookmarkStart w:id="2" w:name="_Hlk20916032"/>
      <w:r>
        <w:t xml:space="preserve">En </w:t>
      </w:r>
      <w:r w:rsidR="004918F9">
        <w:t xml:space="preserve">Extremadura </w:t>
      </w:r>
      <w:r>
        <w:t>l</w:t>
      </w:r>
      <w:r w:rsidRPr="007324EC">
        <w:t>a media de alumnos por profesor es 1</w:t>
      </w:r>
      <w:r w:rsidR="00200D93">
        <w:t>0,6</w:t>
      </w:r>
      <w:r w:rsidR="00356B2C">
        <w:t>,</w:t>
      </w:r>
      <w:r>
        <w:t xml:space="preserve"> </w:t>
      </w:r>
      <w:r w:rsidR="00200D93">
        <w:t>la más baja de España después de Galicia. E</w:t>
      </w:r>
      <w:r>
        <w:t>n los privados 1</w:t>
      </w:r>
      <w:r w:rsidR="00200D93">
        <w:t>7</w:t>
      </w:r>
      <w:r>
        <w:t>,</w:t>
      </w:r>
      <w:r w:rsidR="00200D93">
        <w:t>7</w:t>
      </w:r>
      <w:r w:rsidR="00356B2C">
        <w:t xml:space="preserve"> y en los públicos </w:t>
      </w:r>
      <w:r w:rsidR="004918F9">
        <w:t>9,6</w:t>
      </w:r>
      <w:r w:rsidR="00356B2C">
        <w:t xml:space="preserve">. </w:t>
      </w:r>
      <w:r w:rsidRPr="007324EC">
        <w:t>La media de España es 12,5.</w:t>
      </w:r>
      <w:r w:rsidR="00944746">
        <w:t xml:space="preserve"> </w:t>
      </w:r>
      <w:r w:rsidR="00356B2C">
        <w:t>En los privados 15,2 y en los públicos 11,5.</w:t>
      </w:r>
      <w:r w:rsidR="001112C7">
        <w:t xml:space="preserve"> </w:t>
      </w:r>
      <w:r w:rsidR="00944746">
        <w:t xml:space="preserve">En secundaria, los países de </w:t>
      </w:r>
      <w:r w:rsidR="001112C7">
        <w:t>la UE</w:t>
      </w:r>
      <w:r w:rsidR="00944746">
        <w:t xml:space="preserve">22 </w:t>
      </w:r>
      <w:r w:rsidR="0005710F">
        <w:t>tienen 12</w:t>
      </w:r>
      <w:r w:rsidR="00944746">
        <w:t xml:space="preserve"> y los países de la OCDE 13. </w:t>
      </w:r>
    </w:p>
    <w:p w14:paraId="4FB4A021" w14:textId="77777777" w:rsidR="003947E2" w:rsidRDefault="003947E2" w:rsidP="003947E2">
      <w:pPr>
        <w:pStyle w:val="Prrafodelista"/>
      </w:pPr>
    </w:p>
    <w:p w14:paraId="74EE4544" w14:textId="77777777" w:rsidR="003947E2" w:rsidRPr="003947E2" w:rsidRDefault="003947E2" w:rsidP="003947E2">
      <w:pPr>
        <w:pStyle w:val="Prrafodelista"/>
        <w:numPr>
          <w:ilvl w:val="0"/>
          <w:numId w:val="21"/>
        </w:numPr>
        <w:spacing w:line="240" w:lineRule="auto"/>
      </w:pPr>
      <w:r w:rsidRPr="003947E2">
        <w:t>El número medio de alumnos por grupo educativo es inferior a la media nacional con 18,2 alumnos en primaria, 20,2 en secundaria y 21,1 en Bachillerato.</w:t>
      </w:r>
    </w:p>
    <w:p w14:paraId="1188DC62" w14:textId="77777777" w:rsidR="00BB44AC" w:rsidRDefault="00BB44AC" w:rsidP="003947E2">
      <w:pPr>
        <w:spacing w:line="240" w:lineRule="auto"/>
        <w:ind w:firstLine="0"/>
      </w:pPr>
    </w:p>
    <w:bookmarkEnd w:id="2"/>
    <w:p w14:paraId="4A7B646E" w14:textId="77777777" w:rsidR="00BB44AC" w:rsidRDefault="00BB44AC" w:rsidP="005E1C30">
      <w:pPr>
        <w:pStyle w:val="Prrafodelista"/>
        <w:spacing w:line="240" w:lineRule="auto"/>
      </w:pPr>
    </w:p>
    <w:p w14:paraId="7AC8BF14" w14:textId="58E07EEB" w:rsidR="00BB44AC" w:rsidRPr="00B1318C" w:rsidRDefault="003947E2" w:rsidP="0017455D">
      <w:pPr>
        <w:pStyle w:val="Prrafodelista"/>
        <w:numPr>
          <w:ilvl w:val="0"/>
          <w:numId w:val="21"/>
        </w:numPr>
        <w:spacing w:line="240" w:lineRule="auto"/>
        <w:rPr>
          <w:strike/>
        </w:rPr>
      </w:pPr>
      <w:r>
        <w:lastRenderedPageBreak/>
        <w:t xml:space="preserve">El </w:t>
      </w:r>
      <w:r w:rsidR="00854B9A" w:rsidRPr="00854B9A">
        <w:t>n</w:t>
      </w:r>
      <w:r>
        <w:t>úmero</w:t>
      </w:r>
      <w:r w:rsidR="00854B9A" w:rsidRPr="00854B9A">
        <w:t xml:space="preserve"> medio de alumnos por ordenador destinado preferentemente a la docencia con alumnos con conexión a internet</w:t>
      </w:r>
      <w:r w:rsidR="00FD4900">
        <w:t>: Extremadura 2.0</w:t>
      </w:r>
      <w:r w:rsidR="00746D90" w:rsidRPr="00854B9A">
        <w:t xml:space="preserve"> alumnos por ordenador siendo la media de España </w:t>
      </w:r>
      <w:r w:rsidR="00854B9A" w:rsidRPr="00854B9A">
        <w:t>3,8</w:t>
      </w:r>
      <w:r w:rsidR="000D66C0" w:rsidRPr="00854B9A">
        <w:t>.</w:t>
      </w:r>
    </w:p>
    <w:p w14:paraId="6F56CBDF" w14:textId="77777777" w:rsidR="00B1318C" w:rsidRPr="00B1318C" w:rsidRDefault="00B1318C" w:rsidP="00B1318C">
      <w:pPr>
        <w:pStyle w:val="Prrafodelista"/>
        <w:spacing w:line="240" w:lineRule="auto"/>
        <w:ind w:left="1353" w:firstLine="0"/>
        <w:rPr>
          <w:strike/>
        </w:rPr>
      </w:pPr>
    </w:p>
    <w:p w14:paraId="02574A6C" w14:textId="77777777" w:rsidR="00BB44AC" w:rsidRPr="00746D90" w:rsidRDefault="00BB44AC" w:rsidP="005E1C30">
      <w:pPr>
        <w:spacing w:line="240" w:lineRule="auto"/>
        <w:ind w:firstLine="0"/>
      </w:pPr>
    </w:p>
    <w:p w14:paraId="55EBAB70" w14:textId="77777777" w:rsidR="003947E2" w:rsidRPr="003947E2" w:rsidRDefault="00BB44AC" w:rsidP="003947E2">
      <w:pPr>
        <w:pStyle w:val="Prrafodelista"/>
        <w:numPr>
          <w:ilvl w:val="0"/>
          <w:numId w:val="21"/>
        </w:numPr>
        <w:spacing w:line="240" w:lineRule="auto"/>
      </w:pPr>
      <w:r>
        <w:t xml:space="preserve">El índice de </w:t>
      </w:r>
      <w:r w:rsidRPr="00A44BBA">
        <w:rPr>
          <w:b/>
        </w:rPr>
        <w:t>autonomía</w:t>
      </w:r>
      <w:r>
        <w:t xml:space="preserve"> en España se sitúa en un 57,5%, figurando como uno de los países con menor autonomía del conjunto de la OCDE (71,3%). </w:t>
      </w:r>
      <w:r w:rsidR="003947E2" w:rsidRPr="003947E2">
        <w:t>En el informe</w:t>
      </w:r>
      <w:r w:rsidR="003947E2" w:rsidRPr="003947E2">
        <w:rPr>
          <w:i/>
          <w:iCs/>
        </w:rPr>
        <w:t xml:space="preserve"> </w:t>
      </w:r>
      <w:proofErr w:type="spellStart"/>
      <w:r w:rsidR="003947E2" w:rsidRPr="003947E2">
        <w:rPr>
          <w:i/>
          <w:iCs/>
        </w:rPr>
        <w:t>Education</w:t>
      </w:r>
      <w:proofErr w:type="spellEnd"/>
      <w:r w:rsidR="003947E2" w:rsidRPr="003947E2">
        <w:rPr>
          <w:i/>
          <w:iCs/>
        </w:rPr>
        <w:t xml:space="preserve"> at a </w:t>
      </w:r>
      <w:proofErr w:type="spellStart"/>
      <w:r w:rsidR="003947E2" w:rsidRPr="003947E2">
        <w:rPr>
          <w:i/>
          <w:iCs/>
        </w:rPr>
        <w:t>Glance</w:t>
      </w:r>
      <w:proofErr w:type="spellEnd"/>
      <w:r w:rsidR="003947E2" w:rsidRPr="003947E2">
        <w:rPr>
          <w:i/>
          <w:iCs/>
        </w:rPr>
        <w:t xml:space="preserve"> 2018 de la OCDE se recoge información</w:t>
      </w:r>
      <w:r w:rsidR="003947E2" w:rsidRPr="003947E2">
        <w:t xml:space="preserve"> sobre la toma de decisiones en los distintos niveles de gobernanza en los centros públicos. Se observa que en la OCDE y en la UE-22, un 34% y 38% de las decisiones se toman a escala de centro educativo, respectivamente, frente al 10% registrado en España.</w:t>
      </w:r>
    </w:p>
    <w:p w14:paraId="69CEB0ED" w14:textId="77777777" w:rsidR="00BB44AC" w:rsidRDefault="00BB44AC" w:rsidP="003947E2">
      <w:pPr>
        <w:pStyle w:val="Prrafodelista"/>
        <w:spacing w:line="240" w:lineRule="auto"/>
        <w:ind w:left="1069" w:firstLine="0"/>
      </w:pPr>
    </w:p>
    <w:p w14:paraId="39666DEF" w14:textId="77777777" w:rsidR="00BB44AC" w:rsidRDefault="00BB44AC" w:rsidP="005E1C30">
      <w:pPr>
        <w:pStyle w:val="Prrafodelista"/>
        <w:spacing w:line="240" w:lineRule="auto"/>
        <w:ind w:left="1211" w:firstLine="0"/>
      </w:pPr>
    </w:p>
    <w:p w14:paraId="299441A4" w14:textId="77777777" w:rsidR="00BB44AC" w:rsidRDefault="00BB44AC" w:rsidP="005E1C30">
      <w:pPr>
        <w:pStyle w:val="Prrafodelista"/>
        <w:spacing w:line="240" w:lineRule="auto"/>
        <w:ind w:left="1069" w:firstLine="0"/>
      </w:pPr>
    </w:p>
    <w:p w14:paraId="37A705EC" w14:textId="77777777" w:rsidR="00BB44AC" w:rsidRDefault="00BB44AC" w:rsidP="005E1C30">
      <w:pPr>
        <w:pStyle w:val="Prrafodelista"/>
        <w:spacing w:line="240" w:lineRule="auto"/>
        <w:ind w:left="1069" w:firstLine="0"/>
        <w:rPr>
          <w:b/>
        </w:rPr>
      </w:pPr>
      <w:r w:rsidRPr="008D5855">
        <w:rPr>
          <w:b/>
        </w:rPr>
        <w:t>RESULTADOS</w:t>
      </w:r>
    </w:p>
    <w:p w14:paraId="1D9B044E" w14:textId="77777777" w:rsidR="00BB44AC" w:rsidRDefault="00BB44AC" w:rsidP="005E1C30">
      <w:pPr>
        <w:pStyle w:val="Prrafodelista"/>
        <w:spacing w:line="240" w:lineRule="auto"/>
        <w:ind w:left="1069" w:firstLine="0"/>
        <w:rPr>
          <w:b/>
        </w:rPr>
      </w:pPr>
      <w:r>
        <w:rPr>
          <w:b/>
        </w:rPr>
        <w:t xml:space="preserve"> </w:t>
      </w:r>
    </w:p>
    <w:p w14:paraId="5F00E872" w14:textId="77777777" w:rsidR="00BB44AC" w:rsidRDefault="00BB44AC" w:rsidP="005E1C30">
      <w:pPr>
        <w:pStyle w:val="Prrafodelista"/>
        <w:spacing w:line="240" w:lineRule="auto"/>
        <w:ind w:left="1069" w:firstLine="0"/>
      </w:pPr>
      <w:r w:rsidRPr="003769F7">
        <w:t>Vamos a tomar como referencia com</w:t>
      </w:r>
      <w:r w:rsidR="00746D90">
        <w:t>parativa los objetivos europeos de Educación y Formación 2020.</w:t>
      </w:r>
      <w:r w:rsidRPr="003769F7">
        <w:t xml:space="preserve"> Entre ello</w:t>
      </w:r>
      <w:r>
        <w:t>s hay dos que se destacan especialmente</w:t>
      </w:r>
      <w:r w:rsidRPr="003769F7">
        <w:t xml:space="preserve">: abandono educativo temprano y población que alcanza la educación superior. </w:t>
      </w:r>
    </w:p>
    <w:p w14:paraId="40E23B86" w14:textId="77777777" w:rsidR="00BB44AC" w:rsidRPr="003769F7" w:rsidRDefault="00BB44AC" w:rsidP="005E1C30">
      <w:pPr>
        <w:pStyle w:val="Prrafodelista"/>
        <w:spacing w:line="240" w:lineRule="auto"/>
        <w:ind w:left="1069" w:firstLine="0"/>
      </w:pPr>
    </w:p>
    <w:p w14:paraId="421262EA" w14:textId="77777777" w:rsidR="00BB44AC" w:rsidRPr="00746D90" w:rsidRDefault="00BB44AC" w:rsidP="005E1C30">
      <w:pPr>
        <w:pStyle w:val="Prrafodelista"/>
        <w:spacing w:line="240" w:lineRule="auto"/>
        <w:ind w:left="1069" w:firstLine="0"/>
      </w:pPr>
      <w:r w:rsidRPr="00746D90">
        <w:t xml:space="preserve">Formando parte </w:t>
      </w:r>
      <w:r w:rsidR="00746D90" w:rsidRPr="00746D90">
        <w:t xml:space="preserve">también </w:t>
      </w:r>
      <w:r w:rsidRPr="00746D90">
        <w:t xml:space="preserve">de la estrategia ET2020 están los objetivos europeos referentes a la educación infantil (95%), tanto por ciento que está en los niveles 1 o -1 de PISA (15%), tasa de empleo </w:t>
      </w:r>
      <w:r w:rsidR="00746D90" w:rsidRPr="00746D90">
        <w:t xml:space="preserve">de los recién titulados en </w:t>
      </w:r>
      <w:r w:rsidRPr="00746D90">
        <w:t>educación post obligatoria (82%) y personas que participan en programas de educación permanente (15%),</w:t>
      </w:r>
    </w:p>
    <w:p w14:paraId="56697FAD" w14:textId="77777777" w:rsidR="00BB44AC" w:rsidRPr="00746D90" w:rsidRDefault="00BB44AC" w:rsidP="005E1C30">
      <w:pPr>
        <w:pStyle w:val="Prrafodelista"/>
        <w:spacing w:line="240" w:lineRule="auto"/>
        <w:ind w:left="1069" w:firstLine="0"/>
        <w:rPr>
          <w:b/>
        </w:rPr>
      </w:pPr>
    </w:p>
    <w:p w14:paraId="2853F36E" w14:textId="6DDA234F" w:rsidR="00BB44AC" w:rsidRDefault="00BB44AC" w:rsidP="0017455D">
      <w:pPr>
        <w:pStyle w:val="Prrafodelista"/>
        <w:numPr>
          <w:ilvl w:val="0"/>
          <w:numId w:val="21"/>
        </w:numPr>
        <w:spacing w:line="240" w:lineRule="auto"/>
      </w:pPr>
      <w:r>
        <w:t>En el año 201</w:t>
      </w:r>
      <w:r w:rsidR="00854B9A">
        <w:t>8</w:t>
      </w:r>
      <w:r>
        <w:t xml:space="preserve">, España presentaba una tasa de </w:t>
      </w:r>
      <w:r w:rsidRPr="00A44BBA">
        <w:rPr>
          <w:b/>
        </w:rPr>
        <w:t>abandono educativo</w:t>
      </w:r>
      <w:r>
        <w:t xml:space="preserve"> temprano del 1</w:t>
      </w:r>
      <w:r w:rsidR="00854B9A">
        <w:t>7</w:t>
      </w:r>
      <w:r>
        <w:t>,</w:t>
      </w:r>
      <w:r w:rsidR="00854B9A">
        <w:t>9</w:t>
      </w:r>
      <w:r>
        <w:t>%, superando en 7,</w:t>
      </w:r>
      <w:r w:rsidR="00854B9A">
        <w:t>3</w:t>
      </w:r>
      <w:r>
        <w:t xml:space="preserve"> puntos la media de la UE-28, cuya tasa de abandono se encuentra en un 10,6%.</w:t>
      </w:r>
    </w:p>
    <w:p w14:paraId="37AE85CC" w14:textId="77777777" w:rsidR="00BB44AC" w:rsidRDefault="00BB44AC" w:rsidP="005E1C30">
      <w:pPr>
        <w:pStyle w:val="Prrafodelista"/>
        <w:spacing w:line="240" w:lineRule="auto"/>
        <w:ind w:left="1069" w:firstLine="0"/>
      </w:pPr>
    </w:p>
    <w:p w14:paraId="3D4FBDD9" w14:textId="3D6E4B36" w:rsidR="00BB44AC" w:rsidRDefault="00BB44AC" w:rsidP="0017455D">
      <w:pPr>
        <w:pStyle w:val="Prrafodelista"/>
        <w:numPr>
          <w:ilvl w:val="0"/>
          <w:numId w:val="21"/>
        </w:numPr>
        <w:spacing w:line="240" w:lineRule="auto"/>
      </w:pPr>
      <w:r>
        <w:t xml:space="preserve">Si analizamos las CCAA encontramos notables diferencias. Algunas han alcanzado el objetivo y otras siguen alejadas. </w:t>
      </w:r>
      <w:r w:rsidR="003D7DAF">
        <w:t>Extremadura</w:t>
      </w:r>
      <w:r>
        <w:t xml:space="preserve"> está entre estas últimas con un </w:t>
      </w:r>
      <w:r w:rsidR="00854B9A">
        <w:t>2</w:t>
      </w:r>
      <w:r w:rsidR="003D7DAF">
        <w:t>0</w:t>
      </w:r>
      <w:r w:rsidR="00854B9A">
        <w:t>,9 % en 2018 (</w:t>
      </w:r>
      <w:r w:rsidR="003D7DAF">
        <w:t xml:space="preserve">19,2 </w:t>
      </w:r>
      <w:r>
        <w:t>% en 2017</w:t>
      </w:r>
      <w:r w:rsidR="00854B9A">
        <w:t>)</w:t>
      </w:r>
      <w:r>
        <w:t>.</w:t>
      </w:r>
      <w:r w:rsidR="00542524">
        <w:t xml:space="preserve"> 34,1% en 2009: gran esfuerzo en estos años.</w:t>
      </w:r>
    </w:p>
    <w:p w14:paraId="37330666" w14:textId="77777777" w:rsidR="00BB44AC" w:rsidRDefault="00BB44AC" w:rsidP="005E1C30">
      <w:pPr>
        <w:spacing w:line="240" w:lineRule="auto"/>
        <w:ind w:firstLine="0"/>
      </w:pPr>
    </w:p>
    <w:p w14:paraId="3B89455B" w14:textId="5E76C8A2" w:rsidR="00BB44AC" w:rsidRPr="00B60F10" w:rsidRDefault="00746D90" w:rsidP="0017455D">
      <w:pPr>
        <w:pStyle w:val="Prrafodelista"/>
        <w:numPr>
          <w:ilvl w:val="0"/>
          <w:numId w:val="21"/>
        </w:numPr>
        <w:spacing w:line="240" w:lineRule="auto"/>
        <w:rPr>
          <w:b/>
        </w:rPr>
      </w:pPr>
      <w:r>
        <w:t xml:space="preserve">Si observamos </w:t>
      </w:r>
      <w:r w:rsidR="00BB44AC">
        <w:t>el porcentaje que no titula</w:t>
      </w:r>
      <w:r>
        <w:t xml:space="preserve"> en la enseñanza obligatoria</w:t>
      </w:r>
      <w:r w:rsidR="00C06796">
        <w:t xml:space="preserve"> las cifras son altas. L</w:t>
      </w:r>
      <w:r w:rsidR="00BB44AC" w:rsidRPr="00EF63FE">
        <w:t>a tasa bruta de graduación en Educación Secundaria Obligatoria se define como la relación entre el alumnado que termina con éxito esta etapa educativa, independientemente de su edad, y el total de la población de la “edad teórica” de comienzo del último curso (15 años).</w:t>
      </w:r>
      <w:r w:rsidR="00BB44AC" w:rsidRPr="00B60F10">
        <w:rPr>
          <w:b/>
        </w:rPr>
        <w:t xml:space="preserve"> El porcentaje de </w:t>
      </w:r>
      <w:r w:rsidR="003D7DAF">
        <w:rPr>
          <w:b/>
        </w:rPr>
        <w:t>Extremadura</w:t>
      </w:r>
      <w:r w:rsidR="00BB44AC" w:rsidRPr="00B60F10">
        <w:rPr>
          <w:b/>
        </w:rPr>
        <w:t xml:space="preserve"> es el 7</w:t>
      </w:r>
      <w:r w:rsidR="003D7DAF">
        <w:rPr>
          <w:b/>
        </w:rPr>
        <w:t xml:space="preserve">5,2 </w:t>
      </w:r>
      <w:r w:rsidR="00BB44AC" w:rsidRPr="00B60F10">
        <w:rPr>
          <w:b/>
        </w:rPr>
        <w:t>%</w:t>
      </w:r>
      <w:r w:rsidR="008C1765">
        <w:rPr>
          <w:b/>
        </w:rPr>
        <w:t xml:space="preserve"> y el de España el 75,6</w:t>
      </w:r>
      <w:r w:rsidR="0046115A">
        <w:rPr>
          <w:b/>
        </w:rPr>
        <w:t>%</w:t>
      </w:r>
      <w:r w:rsidR="008C1765">
        <w:rPr>
          <w:b/>
        </w:rPr>
        <w:t xml:space="preserve">. </w:t>
      </w:r>
    </w:p>
    <w:p w14:paraId="1C3686C8" w14:textId="77777777" w:rsidR="00BB44AC" w:rsidRDefault="00BB44AC" w:rsidP="005E1C30">
      <w:pPr>
        <w:pStyle w:val="Prrafodelista"/>
        <w:spacing w:line="240" w:lineRule="auto"/>
      </w:pPr>
    </w:p>
    <w:p w14:paraId="72DD6E82" w14:textId="77777777" w:rsidR="00BB44AC" w:rsidRDefault="00BB44AC" w:rsidP="005E1C30">
      <w:pPr>
        <w:pStyle w:val="Prrafodelista"/>
        <w:spacing w:line="240" w:lineRule="auto"/>
        <w:ind w:left="1069" w:firstLine="0"/>
      </w:pPr>
    </w:p>
    <w:p w14:paraId="33E578D9" w14:textId="494D2941" w:rsidR="00BB44AC" w:rsidRDefault="00BB44AC" w:rsidP="0017455D">
      <w:pPr>
        <w:pStyle w:val="Prrafodelista"/>
        <w:numPr>
          <w:ilvl w:val="0"/>
          <w:numId w:val="21"/>
        </w:numPr>
        <w:spacing w:line="240" w:lineRule="auto"/>
      </w:pPr>
      <w:r>
        <w:t>En educación Infantil</w:t>
      </w:r>
      <w:r w:rsidR="00C06796">
        <w:t>,</w:t>
      </w:r>
      <w:r>
        <w:t xml:space="preserve"> España ha hecho los deberes y </w:t>
      </w:r>
      <w:r w:rsidR="003D7DAF">
        <w:t>Extremadura también</w:t>
      </w:r>
      <w:r>
        <w:t>. Esperamos que dé sus frutos. De la calidad de los aprendizajes tempranos depende en gran medida el rendimiento a</w:t>
      </w:r>
      <w:r w:rsidR="00C06796">
        <w:t xml:space="preserve">cadémico posterior y la equidad. El sistema educativo debe ser capaz </w:t>
      </w:r>
      <w:r w:rsidR="008C1765">
        <w:t>de que</w:t>
      </w:r>
      <w:r>
        <w:t xml:space="preserve"> las personas que estén en el cuartil inferior de renta consigan remontar y adquirir un mayor nivel educativo que el que presumiblemente pueda predicarse de su ISEC</w:t>
      </w:r>
      <w:r w:rsidR="00C06796">
        <w:t xml:space="preserve"> (Índice socio económico y cultural)</w:t>
      </w:r>
      <w:r>
        <w:t>.</w:t>
      </w:r>
    </w:p>
    <w:p w14:paraId="0559EDFC" w14:textId="77777777" w:rsidR="00BB44AC" w:rsidRDefault="00BB44AC" w:rsidP="005E1C30">
      <w:pPr>
        <w:pStyle w:val="Prrafodelista"/>
        <w:spacing w:line="240" w:lineRule="auto"/>
        <w:ind w:left="1069" w:firstLine="0"/>
      </w:pPr>
    </w:p>
    <w:p w14:paraId="660B8528" w14:textId="40F7C020" w:rsidR="00BB44AC" w:rsidRDefault="00BB44AC" w:rsidP="0017455D">
      <w:pPr>
        <w:pStyle w:val="Prrafodelista"/>
        <w:numPr>
          <w:ilvl w:val="0"/>
          <w:numId w:val="21"/>
        </w:numPr>
        <w:spacing w:line="240" w:lineRule="auto"/>
      </w:pPr>
      <w:r>
        <w:t>En educación superior (no solo universidad sino FP superior) España ha hecho los deberes (4</w:t>
      </w:r>
      <w:r w:rsidR="008C1765">
        <w:t>2</w:t>
      </w:r>
      <w:r>
        <w:t>,</w:t>
      </w:r>
      <w:r w:rsidR="008C1765">
        <w:t>4</w:t>
      </w:r>
      <w:r>
        <w:t xml:space="preserve">%) pero </w:t>
      </w:r>
      <w:r w:rsidR="003D7DAF">
        <w:t>Extremadura</w:t>
      </w:r>
      <w:r>
        <w:t xml:space="preserve"> se encuentra a </w:t>
      </w:r>
      <w:r w:rsidR="00482DCA">
        <w:t>6,6</w:t>
      </w:r>
      <w:r>
        <w:t xml:space="preserve"> puntos, 3</w:t>
      </w:r>
      <w:r w:rsidR="003D7DAF">
        <w:t>5</w:t>
      </w:r>
      <w:r>
        <w:t>,</w:t>
      </w:r>
      <w:r w:rsidR="003D7DAF">
        <w:t>8</w:t>
      </w:r>
      <w:r>
        <w:t>%</w:t>
      </w:r>
      <w:r w:rsidR="004D070B">
        <w:t>.</w:t>
      </w:r>
    </w:p>
    <w:p w14:paraId="63003A9A" w14:textId="77777777" w:rsidR="00BB44AC" w:rsidRDefault="00BB44AC" w:rsidP="005E1C30">
      <w:pPr>
        <w:pStyle w:val="Prrafodelista"/>
        <w:spacing w:line="240" w:lineRule="auto"/>
        <w:ind w:left="1069" w:firstLine="0"/>
      </w:pPr>
    </w:p>
    <w:p w14:paraId="1AD51571" w14:textId="07620A1E" w:rsidR="00BB44AC" w:rsidRPr="00482DCA" w:rsidRDefault="00BB44AC" w:rsidP="002179C9">
      <w:pPr>
        <w:pStyle w:val="Prrafodelista"/>
        <w:spacing w:line="240" w:lineRule="auto"/>
        <w:ind w:left="1353" w:firstLine="0"/>
        <w:rPr>
          <w:color w:val="FF0000"/>
        </w:rPr>
      </w:pPr>
    </w:p>
    <w:p w14:paraId="7BA44E50" w14:textId="77777777" w:rsidR="00BB44AC" w:rsidRPr="00482DCA" w:rsidRDefault="00BB44AC" w:rsidP="005E1C30">
      <w:pPr>
        <w:spacing w:line="240" w:lineRule="auto"/>
        <w:ind w:firstLine="0"/>
        <w:rPr>
          <w:color w:val="FF0000"/>
        </w:rPr>
      </w:pPr>
    </w:p>
    <w:p w14:paraId="695D5117" w14:textId="12350D2C" w:rsidR="00BB44AC" w:rsidRPr="00AE1F66" w:rsidRDefault="00C06796" w:rsidP="0017455D">
      <w:pPr>
        <w:pStyle w:val="Prrafodelista"/>
        <w:numPr>
          <w:ilvl w:val="0"/>
          <w:numId w:val="21"/>
        </w:numPr>
        <w:spacing w:line="240" w:lineRule="auto"/>
      </w:pPr>
      <w:r w:rsidRPr="00AE1F66">
        <w:t>Otro de los objetivos</w:t>
      </w:r>
      <w:r w:rsidR="00BB44AC" w:rsidRPr="00AE1F66">
        <w:t xml:space="preserve"> europeo</w:t>
      </w:r>
      <w:r w:rsidRPr="00AE1F66">
        <w:t xml:space="preserve">s plantea disminuir el número de alumnos </w:t>
      </w:r>
      <w:r w:rsidR="008C1765" w:rsidRPr="00AE1F66">
        <w:t>con niveles</w:t>
      </w:r>
      <w:r w:rsidRPr="00AE1F66">
        <w:t xml:space="preserve"> inferiores en</w:t>
      </w:r>
      <w:r w:rsidR="00BB44AC" w:rsidRPr="00AE1F66">
        <w:t xml:space="preserve"> PISA para reducirlos al 15%. </w:t>
      </w:r>
      <w:r w:rsidR="00482DCA">
        <w:t>Extremadura</w:t>
      </w:r>
      <w:r w:rsidR="00BB44AC" w:rsidRPr="00AE1F66">
        <w:t xml:space="preserve"> tiene el 2</w:t>
      </w:r>
      <w:r w:rsidR="00482DCA">
        <w:t>3</w:t>
      </w:r>
      <w:r w:rsidRPr="00AE1F66">
        <w:t>%</w:t>
      </w:r>
      <w:r w:rsidR="00BB44AC" w:rsidRPr="00AE1F66">
        <w:t xml:space="preserve">, </w:t>
      </w:r>
      <w:r w:rsidR="00482DCA">
        <w:t>27</w:t>
      </w:r>
      <w:r w:rsidRPr="00AE1F66">
        <w:t>%</w:t>
      </w:r>
      <w:r w:rsidR="00BB44AC" w:rsidRPr="00AE1F66">
        <w:t xml:space="preserve"> y 2</w:t>
      </w:r>
      <w:r w:rsidR="00482DCA">
        <w:t>3</w:t>
      </w:r>
      <w:r w:rsidRPr="00AE1F66">
        <w:t xml:space="preserve">% de alumnos con niveles </w:t>
      </w:r>
      <w:r w:rsidR="008C1765" w:rsidRPr="00AE1F66">
        <w:t>inferiores en</w:t>
      </w:r>
      <w:r w:rsidR="00BB44AC" w:rsidRPr="00AE1F66">
        <w:t xml:space="preserve"> lectura, matemáticas y ciencias. </w:t>
      </w:r>
    </w:p>
    <w:p w14:paraId="3BFCCD47" w14:textId="77777777" w:rsidR="00BB44AC" w:rsidRPr="005C6C96" w:rsidRDefault="00BB44AC" w:rsidP="005E1C30">
      <w:pPr>
        <w:spacing w:line="240" w:lineRule="auto"/>
        <w:ind w:firstLine="0"/>
        <w:rPr>
          <w:color w:val="FF0000"/>
        </w:rPr>
      </w:pPr>
      <w:r w:rsidRPr="005C6C96">
        <w:rPr>
          <w:color w:val="FF0000"/>
        </w:rPr>
        <w:t>.</w:t>
      </w:r>
    </w:p>
    <w:p w14:paraId="6C5BE22D" w14:textId="6B399AA7" w:rsidR="00BB44AC" w:rsidRPr="00482DCA" w:rsidRDefault="00BB44AC" w:rsidP="0017455D">
      <w:pPr>
        <w:pStyle w:val="Prrafodelista"/>
        <w:numPr>
          <w:ilvl w:val="0"/>
          <w:numId w:val="21"/>
        </w:numPr>
        <w:spacing w:line="240" w:lineRule="auto"/>
        <w:rPr>
          <w:b/>
          <w:bCs/>
        </w:rPr>
      </w:pPr>
      <w:r w:rsidRPr="00AE1F66">
        <w:t xml:space="preserve">En los niveles 5 y 6, considerados como </w:t>
      </w:r>
      <w:r w:rsidR="000D66C0">
        <w:t>los</w:t>
      </w:r>
      <w:r w:rsidRPr="000D66C0">
        <w:t xml:space="preserve"> más altos</w:t>
      </w:r>
      <w:r w:rsidRPr="00AE1F66">
        <w:t xml:space="preserve"> de rendimient</w:t>
      </w:r>
      <w:r w:rsidR="00AE1F66" w:rsidRPr="00AE1F66">
        <w:t>o en PISA, España se encuentra 3</w:t>
      </w:r>
      <w:r w:rsidRPr="00AE1F66">
        <w:t xml:space="preserve"> puntos porcentuales por debajo del promed</w:t>
      </w:r>
      <w:r w:rsidR="00AE1F66" w:rsidRPr="00AE1F66">
        <w:t>io de la OCDE en Matemáticas (10</w:t>
      </w:r>
      <w:r w:rsidRPr="00AE1F66">
        <w:t>%); en Ciencias y Lectura es inferior en 3</w:t>
      </w:r>
      <w:r w:rsidR="00AE1F66" w:rsidRPr="00AE1F66">
        <w:t xml:space="preserve"> puntos porcentuales con un 5%. </w:t>
      </w:r>
      <w:r w:rsidR="00482DCA">
        <w:t>Extremadura</w:t>
      </w:r>
      <w:r w:rsidR="00AE1F66" w:rsidRPr="00AE1F66">
        <w:t xml:space="preserve"> tiene en los niveles superiores </w:t>
      </w:r>
      <w:r w:rsidR="008C1765" w:rsidRPr="00AE1F66">
        <w:t xml:space="preserve">al </w:t>
      </w:r>
      <w:r w:rsidR="00482DCA">
        <w:t>3</w:t>
      </w:r>
      <w:r w:rsidR="00AE1F66" w:rsidRPr="00AE1F66">
        <w:t>%</w:t>
      </w:r>
      <w:r w:rsidRPr="00AE1F66">
        <w:t>,5</w:t>
      </w:r>
      <w:r w:rsidR="00AE1F66" w:rsidRPr="00AE1F66">
        <w:t>% y 3% de sus alumnos en</w:t>
      </w:r>
      <w:r w:rsidRPr="00AE1F66">
        <w:t xml:space="preserve"> lectura matemáticas y ciencias</w:t>
      </w:r>
      <w:r w:rsidRPr="00482DCA">
        <w:rPr>
          <w:b/>
          <w:bCs/>
        </w:rPr>
        <w:t xml:space="preserve">. </w:t>
      </w:r>
      <w:r w:rsidR="00482DCA" w:rsidRPr="00482DCA">
        <w:rPr>
          <w:b/>
          <w:bCs/>
        </w:rPr>
        <w:t>El más bajo de España</w:t>
      </w:r>
      <w:r w:rsidR="003947E2">
        <w:rPr>
          <w:b/>
          <w:bCs/>
        </w:rPr>
        <w:t>.</w:t>
      </w:r>
    </w:p>
    <w:p w14:paraId="1C00B9D5" w14:textId="77777777" w:rsidR="00BB44AC" w:rsidRPr="00AE1F66" w:rsidRDefault="00BB44AC" w:rsidP="005E1C30">
      <w:pPr>
        <w:pStyle w:val="Prrafodelista"/>
        <w:spacing w:line="240" w:lineRule="auto"/>
        <w:ind w:left="1069" w:firstLine="0"/>
      </w:pPr>
    </w:p>
    <w:p w14:paraId="62E5DFFE" w14:textId="16E49798" w:rsidR="00BB44AC" w:rsidRDefault="00BB44AC" w:rsidP="0017455D">
      <w:pPr>
        <w:pStyle w:val="Prrafodelista"/>
        <w:numPr>
          <w:ilvl w:val="0"/>
          <w:numId w:val="21"/>
        </w:numPr>
        <w:spacing w:line="240" w:lineRule="auto"/>
      </w:pPr>
      <w:r>
        <w:t xml:space="preserve">En España, el 39,2% de los estudiantes en desventaja son </w:t>
      </w:r>
      <w:r w:rsidRPr="001D1E35">
        <w:rPr>
          <w:b/>
        </w:rPr>
        <w:t>resilientes</w:t>
      </w:r>
      <w:r>
        <w:t xml:space="preserve">, con un porcentaje considerablemente más alto que el registrado en el promedio de los países de la OCDE (29,2%). </w:t>
      </w:r>
      <w:r w:rsidR="00AE1F66">
        <w:t>Son a</w:t>
      </w:r>
      <w:r>
        <w:t>lumnos que obtienen buenos resultados a pesar de encontrarse en la distribución inferior del nivel socio económico de su CCAA.</w:t>
      </w:r>
    </w:p>
    <w:p w14:paraId="23866388" w14:textId="77777777" w:rsidR="008C1765" w:rsidRDefault="008C1765" w:rsidP="008C1765">
      <w:pPr>
        <w:pStyle w:val="Prrafodelista"/>
      </w:pPr>
    </w:p>
    <w:p w14:paraId="5A9865CE" w14:textId="39753464" w:rsidR="008C1765" w:rsidRDefault="008C1765" w:rsidP="0017455D">
      <w:pPr>
        <w:pStyle w:val="Prrafodelista"/>
        <w:numPr>
          <w:ilvl w:val="0"/>
          <w:numId w:val="21"/>
        </w:numPr>
        <w:spacing w:line="240" w:lineRule="auto"/>
      </w:pPr>
      <w:r>
        <w:t xml:space="preserve">Porcentaje de la población de 25 a 64 años que participa en actividades de formación permanente, por comunidad autónoma y sexo. Año 2017. </w:t>
      </w:r>
      <w:r w:rsidR="00482DCA">
        <w:t>Extremadura</w:t>
      </w:r>
      <w:r>
        <w:t xml:space="preserve"> un 9</w:t>
      </w:r>
      <w:r w:rsidR="00482DCA">
        <w:t>,3</w:t>
      </w:r>
      <w:r>
        <w:t>%. España un 10,5%</w:t>
      </w:r>
      <w:r w:rsidR="00E534A3">
        <w:t>, UE-28 el 10,9% y el objetivo europeo 15%</w:t>
      </w:r>
      <w:r>
        <w:t xml:space="preserve"> </w:t>
      </w:r>
    </w:p>
    <w:p w14:paraId="27CEF548" w14:textId="77777777" w:rsidR="00BB44AC" w:rsidRDefault="00BB44AC" w:rsidP="005E1C30">
      <w:pPr>
        <w:pStyle w:val="Prrafodelista"/>
        <w:spacing w:line="240" w:lineRule="auto"/>
        <w:ind w:left="1069" w:firstLine="0"/>
      </w:pPr>
    </w:p>
    <w:p w14:paraId="49A4951C" w14:textId="77777777" w:rsidR="00BB44AC" w:rsidRDefault="00BB44AC" w:rsidP="005E1C30">
      <w:pPr>
        <w:pStyle w:val="Prrafodelista"/>
        <w:spacing w:line="240" w:lineRule="auto"/>
        <w:ind w:left="1069" w:firstLine="0"/>
        <w:rPr>
          <w:b/>
        </w:rPr>
      </w:pPr>
    </w:p>
    <w:p w14:paraId="0FC1FACE" w14:textId="77777777" w:rsidR="0046115A" w:rsidRDefault="0046115A" w:rsidP="005E1C30">
      <w:pPr>
        <w:pStyle w:val="Prrafodelista"/>
        <w:spacing w:line="240" w:lineRule="auto"/>
        <w:ind w:left="1069" w:firstLine="0"/>
        <w:rPr>
          <w:b/>
        </w:rPr>
      </w:pPr>
    </w:p>
    <w:p w14:paraId="0AB1F72C" w14:textId="77777777" w:rsidR="0046115A" w:rsidRDefault="0046115A" w:rsidP="005E1C30">
      <w:pPr>
        <w:pStyle w:val="Prrafodelista"/>
        <w:spacing w:line="240" w:lineRule="auto"/>
        <w:ind w:left="1069" w:firstLine="0"/>
        <w:rPr>
          <w:b/>
        </w:rPr>
      </w:pPr>
    </w:p>
    <w:p w14:paraId="49F937BA" w14:textId="1FBF587A" w:rsidR="00BB44AC" w:rsidRPr="00BB40A6" w:rsidRDefault="00BB44AC" w:rsidP="005E1C30">
      <w:pPr>
        <w:pStyle w:val="Prrafodelista"/>
        <w:spacing w:line="240" w:lineRule="auto"/>
        <w:ind w:left="1069" w:firstLine="0"/>
        <w:rPr>
          <w:b/>
        </w:rPr>
      </w:pPr>
      <w:r w:rsidRPr="00BB40A6">
        <w:rPr>
          <w:b/>
        </w:rPr>
        <w:t>Educación y empleo.</w:t>
      </w:r>
    </w:p>
    <w:p w14:paraId="78DBAB44" w14:textId="77777777" w:rsidR="00BB44AC" w:rsidRDefault="00BB44AC" w:rsidP="005E1C30">
      <w:pPr>
        <w:pStyle w:val="Prrafodelista"/>
        <w:spacing w:line="240" w:lineRule="auto"/>
        <w:ind w:left="1069" w:firstLine="0"/>
      </w:pPr>
    </w:p>
    <w:p w14:paraId="084F41A8" w14:textId="77777777" w:rsidR="00BB44AC" w:rsidRDefault="00BB44AC" w:rsidP="005E1C30">
      <w:pPr>
        <w:pStyle w:val="Prrafodelista"/>
        <w:spacing w:line="240" w:lineRule="auto"/>
        <w:ind w:left="1069" w:firstLine="0"/>
      </w:pPr>
    </w:p>
    <w:p w14:paraId="639690E9" w14:textId="27AC77B6" w:rsidR="00BB44AC" w:rsidRDefault="0046115A" w:rsidP="0017455D">
      <w:pPr>
        <w:pStyle w:val="Prrafodelista"/>
        <w:numPr>
          <w:ilvl w:val="0"/>
          <w:numId w:val="21"/>
        </w:numPr>
        <w:spacing w:line="240" w:lineRule="auto"/>
      </w:pPr>
      <w:r>
        <w:rPr>
          <w:b/>
        </w:rPr>
        <w:t xml:space="preserve">La </w:t>
      </w:r>
      <w:r w:rsidR="00BB44AC" w:rsidRPr="001D1E35">
        <w:rPr>
          <w:b/>
        </w:rPr>
        <w:t>Tasa de empleo</w:t>
      </w:r>
      <w:r w:rsidR="00BB44AC">
        <w:t xml:space="preserve"> de la población aumenta con el nivel educativo: en niveles educativos inferiores a la Educación Secundaria Superior </w:t>
      </w:r>
      <w:r w:rsidR="00BB44AC">
        <w:lastRenderedPageBreak/>
        <w:t>se sitúa en un 5</w:t>
      </w:r>
      <w:r w:rsidR="00E534A3">
        <w:t>5,5</w:t>
      </w:r>
      <w:r w:rsidR="00BB44AC">
        <w:t xml:space="preserve">%, seguida de la Educación Secundaria 2ª etapa con un </w:t>
      </w:r>
      <w:r w:rsidR="00E534A3">
        <w:t>70,1</w:t>
      </w:r>
      <w:r w:rsidR="00BB44AC">
        <w:t xml:space="preserve">% y la Educación Terciaria con un </w:t>
      </w:r>
      <w:r w:rsidR="00C6345F">
        <w:t>81</w:t>
      </w:r>
      <w:r w:rsidR="00BB44AC">
        <w:t>%; esta última se ve incrementada a su vez según aumenta la titulación alcanzada en Educación Superior.</w:t>
      </w:r>
    </w:p>
    <w:p w14:paraId="22423468" w14:textId="77777777" w:rsidR="00BB44AC" w:rsidRDefault="00BB44AC" w:rsidP="005E1C30">
      <w:pPr>
        <w:pStyle w:val="Prrafodelista"/>
        <w:spacing w:line="240" w:lineRule="auto"/>
        <w:ind w:left="1211" w:firstLine="0"/>
      </w:pPr>
    </w:p>
    <w:p w14:paraId="60E133A0" w14:textId="7B8B27FC" w:rsidR="00BB44AC" w:rsidRPr="005C6C96" w:rsidRDefault="00BB44AC" w:rsidP="0017455D">
      <w:pPr>
        <w:pStyle w:val="Prrafodelista"/>
        <w:numPr>
          <w:ilvl w:val="0"/>
          <w:numId w:val="21"/>
        </w:numPr>
        <w:spacing w:line="240" w:lineRule="auto"/>
        <w:rPr>
          <w:strike/>
          <w:color w:val="FF0000"/>
        </w:rPr>
      </w:pPr>
      <w:r w:rsidRPr="008232A3">
        <w:t xml:space="preserve"> Por CCAA apreciamos también las notables diferencias entre nivel educativo y empleo</w:t>
      </w:r>
    </w:p>
    <w:p w14:paraId="3A8663A8" w14:textId="77777777" w:rsidR="00BB44AC" w:rsidRPr="0014555F" w:rsidRDefault="00BB44AC" w:rsidP="005E1C30">
      <w:pPr>
        <w:pStyle w:val="Prrafodelista"/>
        <w:spacing w:line="240" w:lineRule="auto"/>
        <w:ind w:left="1069" w:firstLine="0"/>
      </w:pPr>
    </w:p>
    <w:p w14:paraId="50A9F866" w14:textId="094E789E" w:rsidR="00BB44AC" w:rsidRDefault="00BB44AC" w:rsidP="005E1C30">
      <w:pPr>
        <w:pStyle w:val="Prrafodelista"/>
        <w:spacing w:line="240" w:lineRule="auto"/>
        <w:ind w:left="1069" w:firstLine="0"/>
      </w:pPr>
      <w:r>
        <w:t xml:space="preserve">Para la población de 25 a 64 años, vemos cómo las tasas de empleo de los titulados superiores son muy elevadas en algunas comunidades como Aragón, Baleares, Cataluña, Madrid, Navarra, País Vasco y La Rioja. Ello se debe a que, en estas comunidades, con mercados de trabajo relativamente más dinámicos que el resto, la demanda de cualificaciones superiores es más elevada. </w:t>
      </w:r>
      <w:r w:rsidR="005771C5">
        <w:t xml:space="preserve">Extremadura </w:t>
      </w:r>
      <w:r>
        <w:t>con un 7</w:t>
      </w:r>
      <w:r w:rsidR="005771C5">
        <w:t>6</w:t>
      </w:r>
      <w:r>
        <w:t>,</w:t>
      </w:r>
      <w:r w:rsidR="005771C5">
        <w:t>6</w:t>
      </w:r>
      <w:r>
        <w:t xml:space="preserve"> %</w:t>
      </w:r>
      <w:r w:rsidR="005771C5">
        <w:t xml:space="preserve">, está en una posición más baja que la media española que es </w:t>
      </w:r>
      <w:r w:rsidR="006F4C40">
        <w:t>d</w:t>
      </w:r>
      <w:r w:rsidR="005771C5">
        <w:t>el 80,6%</w:t>
      </w:r>
    </w:p>
    <w:p w14:paraId="1B7011DC" w14:textId="3569EDFA" w:rsidR="00C6345F" w:rsidRDefault="00C6345F" w:rsidP="005E1C30">
      <w:pPr>
        <w:pStyle w:val="Prrafodelista"/>
        <w:spacing w:line="240" w:lineRule="auto"/>
        <w:ind w:left="1069" w:firstLine="0"/>
      </w:pPr>
    </w:p>
    <w:p w14:paraId="3BDB6D7B" w14:textId="1E7947DA" w:rsidR="00C6345F" w:rsidRDefault="00C6345F" w:rsidP="005E1C30">
      <w:pPr>
        <w:pStyle w:val="Prrafodelista"/>
        <w:spacing w:line="240" w:lineRule="auto"/>
        <w:ind w:left="1069" w:firstLine="0"/>
      </w:pPr>
      <w:bookmarkStart w:id="3" w:name="_Hlk20915839"/>
      <w:r>
        <w:t xml:space="preserve">Para la población con niveles educativos inferior a segunda etapa de educación secundaria </w:t>
      </w:r>
      <w:r w:rsidR="006F4C40">
        <w:t xml:space="preserve">Extremadura presenta tan sólo un </w:t>
      </w:r>
      <w:r>
        <w:t>4</w:t>
      </w:r>
      <w:r w:rsidR="006F4C40">
        <w:t>7</w:t>
      </w:r>
      <w:r>
        <w:t>,</w:t>
      </w:r>
      <w:r w:rsidR="006F4C40">
        <w:t>6</w:t>
      </w:r>
      <w:r>
        <w:t>%</w:t>
      </w:r>
      <w:r w:rsidR="0046115A">
        <w:t>,</w:t>
      </w:r>
      <w:r>
        <w:t xml:space="preserve"> </w:t>
      </w:r>
      <w:r w:rsidR="00DA455D">
        <w:t>la más baja después de Ceuta y Melilla. En Educación secundaria segunda etapa 63,</w:t>
      </w:r>
      <w:r w:rsidR="006F4C40">
        <w:t>7</w:t>
      </w:r>
      <w:r w:rsidR="00DA455D">
        <w:t>%, la más baja de España</w:t>
      </w:r>
      <w:r w:rsidR="006F4C40">
        <w:t xml:space="preserve"> después de Andalucía.</w:t>
      </w:r>
    </w:p>
    <w:bookmarkEnd w:id="3"/>
    <w:p w14:paraId="23AB4F20" w14:textId="77777777" w:rsidR="00BB44AC" w:rsidRDefault="00BB44AC" w:rsidP="005E1C30">
      <w:pPr>
        <w:pStyle w:val="Prrafodelista"/>
        <w:spacing w:line="240" w:lineRule="auto"/>
        <w:ind w:left="1069" w:firstLine="0"/>
      </w:pPr>
    </w:p>
    <w:p w14:paraId="7E0751F1" w14:textId="720F404E" w:rsidR="00BB44AC" w:rsidRDefault="00BB44AC" w:rsidP="005E1C30">
      <w:pPr>
        <w:pStyle w:val="Prrafodelista"/>
        <w:spacing w:line="240" w:lineRule="auto"/>
        <w:ind w:left="1069" w:firstLine="0"/>
      </w:pPr>
      <w:r>
        <w:t xml:space="preserve">En la desagregación por sexo para un colectivo muy específico: el de los jóvenes en situación de abandono escolar temprano (que han completado, por tanto, la educación obligatoria como máximo). Vemos que esta situación afecta muy negativamente las probabilidades de estar económicamente activo y con un empleo; esta incidencia negativa es especialmente destacable en el caso de las mujeres (en </w:t>
      </w:r>
      <w:r w:rsidR="006F4C40">
        <w:t>Extremadura</w:t>
      </w:r>
      <w:r>
        <w:t xml:space="preserve"> el </w:t>
      </w:r>
      <w:r w:rsidR="006F4C40">
        <w:t>34,5</w:t>
      </w:r>
      <w:r>
        <w:t>%</w:t>
      </w:r>
      <w:r w:rsidR="00DA455D">
        <w:t xml:space="preserve"> de 25 a 34 años</w:t>
      </w:r>
      <w:r w:rsidR="006F4C40">
        <w:t>. La más baja de España después de Ceuta y Melilla</w:t>
      </w:r>
      <w:r>
        <w:t>). La falta de participación en el mercado de trabajo, como ocupadas, de las mujeres jóvenes que han sufrido abandono escolar prematuro, es fruto de la combinación de una retirada “voluntaria” de la actividad (inactivas desanimadas) con una baja probabilidad de encontrar un empleo.</w:t>
      </w:r>
    </w:p>
    <w:p w14:paraId="79DF8A27" w14:textId="77777777" w:rsidR="00BB44AC" w:rsidRDefault="00BB44AC" w:rsidP="005E1C30">
      <w:pPr>
        <w:pStyle w:val="Prrafodelista"/>
        <w:spacing w:line="240" w:lineRule="auto"/>
        <w:ind w:left="1069" w:firstLine="0"/>
      </w:pPr>
    </w:p>
    <w:p w14:paraId="0FC3E0E6" w14:textId="77777777" w:rsidR="00BB44AC" w:rsidRDefault="00BB44AC" w:rsidP="002A3EB8">
      <w:pPr>
        <w:pStyle w:val="Prrafodelista"/>
        <w:spacing w:line="240" w:lineRule="auto"/>
        <w:ind w:left="1069" w:firstLine="0"/>
      </w:pPr>
      <w:r>
        <w:t>En España, la subutilización de competencias de los graduados superiores es mucho más que en el conjunto de la Unión</w:t>
      </w:r>
      <w:r w:rsidR="002A3EB8">
        <w:t xml:space="preserve"> </w:t>
      </w:r>
      <w:r>
        <w:t xml:space="preserve">Europea. </w:t>
      </w:r>
      <w:r w:rsidR="00E71663">
        <w:t>Un 40,3</w:t>
      </w:r>
      <w:r w:rsidR="00472D90">
        <w:t>% de</w:t>
      </w:r>
      <w:r w:rsidR="00472D90" w:rsidRPr="00472D90">
        <w:t xml:space="preserve"> jóvenes (con edades entre 25 y 34 años) titulados superiores </w:t>
      </w:r>
      <w:r w:rsidR="00472D90">
        <w:t xml:space="preserve">están </w:t>
      </w:r>
      <w:r w:rsidR="00472D90" w:rsidRPr="00472D90">
        <w:t>ocupados en puestos de trabajo</w:t>
      </w:r>
      <w:r w:rsidR="00E71663">
        <w:t xml:space="preserve"> inferiores a la cualificación que teóricamente tiene por su titulación.</w:t>
      </w:r>
      <w:r w:rsidR="00472D90">
        <w:t xml:space="preserve"> En la UE-28 es el 26%. </w:t>
      </w:r>
      <w:r w:rsidR="00E71663">
        <w:t xml:space="preserve"> </w:t>
      </w:r>
      <w:r>
        <w:t>El sistema productivo español no es capaz de absorber y desarrollar las potencialidades de los graduados superiores.</w:t>
      </w:r>
    </w:p>
    <w:p w14:paraId="68978C3A" w14:textId="77777777" w:rsidR="00BB44AC" w:rsidRDefault="00BB44AC" w:rsidP="005E1C30">
      <w:pPr>
        <w:pStyle w:val="Prrafodelista"/>
        <w:spacing w:line="240" w:lineRule="auto"/>
        <w:ind w:left="1069" w:firstLine="0"/>
      </w:pPr>
    </w:p>
    <w:p w14:paraId="18EB8183" w14:textId="77777777" w:rsidR="00BB44AC" w:rsidRPr="002A3EB8" w:rsidRDefault="00472D90" w:rsidP="00472D90">
      <w:pPr>
        <w:pStyle w:val="Prrafodelista"/>
        <w:spacing w:line="240" w:lineRule="auto"/>
        <w:ind w:left="1069" w:firstLine="0"/>
      </w:pPr>
      <w:r w:rsidRPr="002A3EB8">
        <w:t xml:space="preserve">Dicha cifra hay que matizarla por el bajo resultado que se obtiene en el programa internacional para la evaluación de las competencias de la población adulta (PIAAC). Una parte de la subutilización es aparente porque hay un </w:t>
      </w:r>
      <w:proofErr w:type="spellStart"/>
      <w:r w:rsidRPr="002A3EB8">
        <w:t>subcualificaci</w:t>
      </w:r>
      <w:r w:rsidR="002A3EB8" w:rsidRPr="002A3EB8">
        <w:t>ón</w:t>
      </w:r>
      <w:proofErr w:type="spellEnd"/>
      <w:r w:rsidR="002A3EB8" w:rsidRPr="002A3EB8">
        <w:t xml:space="preserve"> alta.</w:t>
      </w:r>
      <w:r w:rsidRPr="002A3EB8">
        <w:cr/>
      </w:r>
    </w:p>
    <w:sectPr w:rsidR="00BB44AC" w:rsidRPr="002A3EB8" w:rsidSect="00375B9E">
      <w:headerReference w:type="default" r:id="rId9"/>
      <w:footerReference w:type="default" r:id="rId10"/>
      <w:headerReference w:type="first" r:id="rId11"/>
      <w:footerReference w:type="first" r:id="rId12"/>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6DA4" w14:textId="77777777" w:rsidR="007F37B0" w:rsidRDefault="007F37B0" w:rsidP="007D7AE5">
      <w:pPr>
        <w:spacing w:line="240" w:lineRule="auto"/>
      </w:pPr>
      <w:r>
        <w:separator/>
      </w:r>
    </w:p>
  </w:endnote>
  <w:endnote w:type="continuationSeparator" w:id="0">
    <w:p w14:paraId="21893823" w14:textId="77777777" w:rsidR="007F37B0" w:rsidRDefault="007F37B0" w:rsidP="007D7A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velPr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894361"/>
      <w:docPartObj>
        <w:docPartGallery w:val="Page Numbers (Bottom of Page)"/>
        <w:docPartUnique/>
      </w:docPartObj>
    </w:sdtPr>
    <w:sdtEndPr/>
    <w:sdtContent>
      <w:p w14:paraId="0680AEDB" w14:textId="77777777" w:rsidR="00375B9E" w:rsidRDefault="00375B9E">
        <w:pPr>
          <w:pStyle w:val="Piedepgina"/>
        </w:pPr>
        <w:r>
          <w:fldChar w:fldCharType="begin"/>
        </w:r>
        <w:r>
          <w:instrText>PAGE   \* MERGEFORMAT</w:instrText>
        </w:r>
        <w:r>
          <w:fldChar w:fldCharType="separate"/>
        </w:r>
        <w:r w:rsidR="00542524">
          <w:rPr>
            <w:noProof/>
          </w:rPr>
          <w:t>6</w:t>
        </w:r>
        <w:r>
          <w:fldChar w:fldCharType="end"/>
        </w:r>
      </w:p>
    </w:sdtContent>
  </w:sdt>
  <w:p w14:paraId="11C0B8CA" w14:textId="77777777" w:rsidR="007D7AE5" w:rsidRDefault="007D7A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62FA" w14:textId="77777777" w:rsidR="00375B9E" w:rsidRDefault="00375B9E">
    <w:pPr>
      <w:pStyle w:val="Piedepgina"/>
    </w:pPr>
    <w:r>
      <w:rPr>
        <w:noProof/>
        <w:lang w:eastAsia="es-ES"/>
      </w:rPr>
      <w:drawing>
        <wp:anchor distT="0" distB="0" distL="114300" distR="114300" simplePos="0" relativeHeight="251659264" behindDoc="0" locked="0" layoutInCell="1" allowOverlap="1" wp14:anchorId="1138BF4F" wp14:editId="491002FB">
          <wp:simplePos x="0" y="0"/>
          <wp:positionH relativeFrom="column">
            <wp:posOffset>-727075</wp:posOffset>
          </wp:positionH>
          <wp:positionV relativeFrom="paragraph">
            <wp:posOffset>-573532</wp:posOffset>
          </wp:positionV>
          <wp:extent cx="2535816" cy="97536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5816" cy="9753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2FBF4" w14:textId="77777777" w:rsidR="007F37B0" w:rsidRDefault="007F37B0" w:rsidP="007D7AE5">
      <w:pPr>
        <w:spacing w:line="240" w:lineRule="auto"/>
      </w:pPr>
      <w:r>
        <w:separator/>
      </w:r>
    </w:p>
  </w:footnote>
  <w:footnote w:type="continuationSeparator" w:id="0">
    <w:p w14:paraId="324AABCE" w14:textId="77777777" w:rsidR="007F37B0" w:rsidRDefault="007F37B0" w:rsidP="007D7A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A50B" w14:textId="77777777" w:rsidR="007D7AE5" w:rsidRDefault="007D7AE5">
    <w:pPr>
      <w:pStyle w:val="Encabezado"/>
    </w:pPr>
    <w:r>
      <w:rPr>
        <w:noProof/>
        <w:lang w:eastAsia="es-ES"/>
      </w:rPr>
      <w:drawing>
        <wp:anchor distT="0" distB="0" distL="114300" distR="114300" simplePos="0" relativeHeight="251656192" behindDoc="0" locked="0" layoutInCell="1" allowOverlap="1" wp14:anchorId="60677257" wp14:editId="7B9A5F6D">
          <wp:simplePos x="0" y="0"/>
          <wp:positionH relativeFrom="column">
            <wp:posOffset>-763651</wp:posOffset>
          </wp:positionH>
          <wp:positionV relativeFrom="paragraph">
            <wp:posOffset>-109093</wp:posOffset>
          </wp:positionV>
          <wp:extent cx="1609344" cy="577631"/>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344" cy="577631"/>
                  </a:xfrm>
                  <a:prstGeom prst="rect">
                    <a:avLst/>
                  </a:prstGeom>
                  <a:noFill/>
                  <a:ln>
                    <a:noFill/>
                  </a:ln>
                </pic:spPr>
              </pic:pic>
            </a:graphicData>
          </a:graphic>
        </wp:anchor>
      </w:drawing>
    </w:r>
  </w:p>
  <w:p w14:paraId="62AE99E5" w14:textId="77777777" w:rsidR="007D7AE5" w:rsidRDefault="007D7A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A338" w14:textId="77777777" w:rsidR="007D7AE5" w:rsidRDefault="00375B9E">
    <w:pPr>
      <w:pStyle w:val="Encabezado"/>
    </w:pPr>
    <w:r>
      <w:rPr>
        <w:noProof/>
        <w:lang w:eastAsia="es-ES"/>
      </w:rPr>
      <w:drawing>
        <wp:anchor distT="0" distB="0" distL="114300" distR="114300" simplePos="0" relativeHeight="251658240" behindDoc="0" locked="0" layoutInCell="1" allowOverlap="1" wp14:anchorId="6C4BC10C" wp14:editId="3139CB4B">
          <wp:simplePos x="0" y="0"/>
          <wp:positionH relativeFrom="column">
            <wp:posOffset>-629285</wp:posOffset>
          </wp:positionH>
          <wp:positionV relativeFrom="paragraph">
            <wp:posOffset>-97155</wp:posOffset>
          </wp:positionV>
          <wp:extent cx="2950210" cy="625475"/>
          <wp:effectExtent l="0" t="0" r="2540"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021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6C2"/>
    <w:multiLevelType w:val="hybridMultilevel"/>
    <w:tmpl w:val="4456F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201792"/>
    <w:multiLevelType w:val="hybridMultilevel"/>
    <w:tmpl w:val="2E1C61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3183F"/>
    <w:multiLevelType w:val="hybridMultilevel"/>
    <w:tmpl w:val="46BAC91C"/>
    <w:lvl w:ilvl="0" w:tplc="D40C4BDA">
      <w:start w:val="1"/>
      <w:numFmt w:val="decimal"/>
      <w:lvlText w:val="%1."/>
      <w:lvlJc w:val="left"/>
      <w:pPr>
        <w:ind w:left="1353" w:hanging="360"/>
      </w:pPr>
      <w:rPr>
        <w:rFonts w:hint="default"/>
        <w:strike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1753033E"/>
    <w:multiLevelType w:val="hybridMultilevel"/>
    <w:tmpl w:val="E1288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3D27E2"/>
    <w:multiLevelType w:val="hybridMultilevel"/>
    <w:tmpl w:val="22A0CD82"/>
    <w:lvl w:ilvl="0" w:tplc="6BC6F082">
      <w:start w:val="1"/>
      <w:numFmt w:val="decimal"/>
      <w:lvlText w:val="%1."/>
      <w:lvlJc w:val="left"/>
      <w:pPr>
        <w:ind w:left="1210" w:hanging="360"/>
      </w:pPr>
      <w:rPr>
        <w:rFonts w:hint="default"/>
        <w:b w:val="0"/>
        <w:bCs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E625CB"/>
    <w:multiLevelType w:val="hybridMultilevel"/>
    <w:tmpl w:val="8968FB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135623"/>
    <w:multiLevelType w:val="hybridMultilevel"/>
    <w:tmpl w:val="0BA4EB4E"/>
    <w:lvl w:ilvl="0" w:tplc="6B6C6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7E530BD"/>
    <w:multiLevelType w:val="hybridMultilevel"/>
    <w:tmpl w:val="0DA6E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9F53F4"/>
    <w:multiLevelType w:val="hybridMultilevel"/>
    <w:tmpl w:val="4366F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F6E58CA"/>
    <w:multiLevelType w:val="hybridMultilevel"/>
    <w:tmpl w:val="1D64E8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F35195"/>
    <w:multiLevelType w:val="hybridMultilevel"/>
    <w:tmpl w:val="1FE4E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AD021E"/>
    <w:multiLevelType w:val="hybridMultilevel"/>
    <w:tmpl w:val="66E60E2C"/>
    <w:lvl w:ilvl="0" w:tplc="3F5887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2E1FCC"/>
    <w:multiLevelType w:val="hybridMultilevel"/>
    <w:tmpl w:val="73587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5E2644"/>
    <w:multiLevelType w:val="hybridMultilevel"/>
    <w:tmpl w:val="8C3EBD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5017FC"/>
    <w:multiLevelType w:val="hybridMultilevel"/>
    <w:tmpl w:val="F9721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523A8C"/>
    <w:multiLevelType w:val="hybridMultilevel"/>
    <w:tmpl w:val="12103C66"/>
    <w:lvl w:ilvl="0" w:tplc="C31CB6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05399B"/>
    <w:multiLevelType w:val="hybridMultilevel"/>
    <w:tmpl w:val="B9A0B2D6"/>
    <w:lvl w:ilvl="0" w:tplc="B9A46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C7D093D"/>
    <w:multiLevelType w:val="hybridMultilevel"/>
    <w:tmpl w:val="E4F4E2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CBE5CF9"/>
    <w:multiLevelType w:val="hybridMultilevel"/>
    <w:tmpl w:val="390015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E4C73AA"/>
    <w:multiLevelType w:val="hybridMultilevel"/>
    <w:tmpl w:val="36526A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01249C"/>
    <w:multiLevelType w:val="hybridMultilevel"/>
    <w:tmpl w:val="64767D1E"/>
    <w:lvl w:ilvl="0" w:tplc="342CEE2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7"/>
  </w:num>
  <w:num w:numId="9">
    <w:abstractNumId w:val="20"/>
  </w:num>
  <w:num w:numId="10">
    <w:abstractNumId w:val="11"/>
  </w:num>
  <w:num w:numId="11">
    <w:abstractNumId w:val="6"/>
  </w:num>
  <w:num w:numId="12">
    <w:abstractNumId w:val="15"/>
  </w:num>
  <w:num w:numId="13">
    <w:abstractNumId w:val="14"/>
  </w:num>
  <w:num w:numId="14">
    <w:abstractNumId w:val="5"/>
  </w:num>
  <w:num w:numId="15">
    <w:abstractNumId w:val="8"/>
  </w:num>
  <w:num w:numId="16">
    <w:abstractNumId w:val="12"/>
  </w:num>
  <w:num w:numId="17">
    <w:abstractNumId w:val="18"/>
  </w:num>
  <w:num w:numId="18">
    <w:abstractNumId w:val="0"/>
  </w:num>
  <w:num w:numId="19">
    <w:abstractNumId w:val="1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jIyNzEzMDc2NzFS0lEKTi0uzszPAykwrQUAuJ63JiwAAAA="/>
  </w:docVars>
  <w:rsids>
    <w:rsidRoot w:val="00D44FBA"/>
    <w:rsid w:val="00000948"/>
    <w:rsid w:val="0000208F"/>
    <w:rsid w:val="0000248F"/>
    <w:rsid w:val="000063EE"/>
    <w:rsid w:val="000102BB"/>
    <w:rsid w:val="00010C7F"/>
    <w:rsid w:val="00013905"/>
    <w:rsid w:val="00016252"/>
    <w:rsid w:val="0001635F"/>
    <w:rsid w:val="00016DE5"/>
    <w:rsid w:val="00020ECF"/>
    <w:rsid w:val="0002694E"/>
    <w:rsid w:val="00027548"/>
    <w:rsid w:val="00030BCB"/>
    <w:rsid w:val="00034EAF"/>
    <w:rsid w:val="0003565D"/>
    <w:rsid w:val="00036965"/>
    <w:rsid w:val="00044404"/>
    <w:rsid w:val="000449A0"/>
    <w:rsid w:val="0005079B"/>
    <w:rsid w:val="000509D3"/>
    <w:rsid w:val="000516E4"/>
    <w:rsid w:val="00051F88"/>
    <w:rsid w:val="000520C2"/>
    <w:rsid w:val="00052511"/>
    <w:rsid w:val="0005710F"/>
    <w:rsid w:val="00061491"/>
    <w:rsid w:val="0006167A"/>
    <w:rsid w:val="00061DE9"/>
    <w:rsid w:val="00061EEB"/>
    <w:rsid w:val="00066EB3"/>
    <w:rsid w:val="000718BD"/>
    <w:rsid w:val="00073A1B"/>
    <w:rsid w:val="000777FA"/>
    <w:rsid w:val="00080665"/>
    <w:rsid w:val="0008131E"/>
    <w:rsid w:val="000850B1"/>
    <w:rsid w:val="0008681A"/>
    <w:rsid w:val="00090741"/>
    <w:rsid w:val="000917BE"/>
    <w:rsid w:val="000A64B3"/>
    <w:rsid w:val="000A7CE2"/>
    <w:rsid w:val="000B3E34"/>
    <w:rsid w:val="000B5143"/>
    <w:rsid w:val="000B5588"/>
    <w:rsid w:val="000B6A3B"/>
    <w:rsid w:val="000C1DFC"/>
    <w:rsid w:val="000D07D9"/>
    <w:rsid w:val="000D23D0"/>
    <w:rsid w:val="000D265C"/>
    <w:rsid w:val="000D3842"/>
    <w:rsid w:val="000D450A"/>
    <w:rsid w:val="000D5962"/>
    <w:rsid w:val="000D66C0"/>
    <w:rsid w:val="000E1824"/>
    <w:rsid w:val="000E23E8"/>
    <w:rsid w:val="000E29AE"/>
    <w:rsid w:val="000E2CFC"/>
    <w:rsid w:val="000E2FA5"/>
    <w:rsid w:val="000E5459"/>
    <w:rsid w:val="000E5AE4"/>
    <w:rsid w:val="000E610E"/>
    <w:rsid w:val="000E7D2E"/>
    <w:rsid w:val="000F1519"/>
    <w:rsid w:val="000F16C1"/>
    <w:rsid w:val="000F2C4B"/>
    <w:rsid w:val="000F5556"/>
    <w:rsid w:val="000F6878"/>
    <w:rsid w:val="000F7258"/>
    <w:rsid w:val="0010156F"/>
    <w:rsid w:val="00101850"/>
    <w:rsid w:val="0010248B"/>
    <w:rsid w:val="00103A4E"/>
    <w:rsid w:val="00104E76"/>
    <w:rsid w:val="00107CB9"/>
    <w:rsid w:val="00110C76"/>
    <w:rsid w:val="001112C7"/>
    <w:rsid w:val="00113C3B"/>
    <w:rsid w:val="00114505"/>
    <w:rsid w:val="0011462B"/>
    <w:rsid w:val="001156CB"/>
    <w:rsid w:val="00121BA8"/>
    <w:rsid w:val="001221E3"/>
    <w:rsid w:val="00123CFC"/>
    <w:rsid w:val="00124421"/>
    <w:rsid w:val="0012713E"/>
    <w:rsid w:val="00127823"/>
    <w:rsid w:val="0013101A"/>
    <w:rsid w:val="001310FD"/>
    <w:rsid w:val="00131889"/>
    <w:rsid w:val="001318D1"/>
    <w:rsid w:val="00133B32"/>
    <w:rsid w:val="00133BFE"/>
    <w:rsid w:val="001351A1"/>
    <w:rsid w:val="001351AB"/>
    <w:rsid w:val="00136071"/>
    <w:rsid w:val="001373F8"/>
    <w:rsid w:val="0013798C"/>
    <w:rsid w:val="00137C2F"/>
    <w:rsid w:val="00141172"/>
    <w:rsid w:val="001430FC"/>
    <w:rsid w:val="001432A5"/>
    <w:rsid w:val="00146914"/>
    <w:rsid w:val="00147038"/>
    <w:rsid w:val="0015176A"/>
    <w:rsid w:val="001543AE"/>
    <w:rsid w:val="001577EB"/>
    <w:rsid w:val="001606C3"/>
    <w:rsid w:val="0016270A"/>
    <w:rsid w:val="00163DD9"/>
    <w:rsid w:val="0017455D"/>
    <w:rsid w:val="00175B17"/>
    <w:rsid w:val="00177655"/>
    <w:rsid w:val="00177B86"/>
    <w:rsid w:val="00186807"/>
    <w:rsid w:val="00186C02"/>
    <w:rsid w:val="0018728D"/>
    <w:rsid w:val="001872AA"/>
    <w:rsid w:val="00187374"/>
    <w:rsid w:val="00187714"/>
    <w:rsid w:val="00192E95"/>
    <w:rsid w:val="0019300C"/>
    <w:rsid w:val="00193235"/>
    <w:rsid w:val="0019328F"/>
    <w:rsid w:val="00193600"/>
    <w:rsid w:val="00193694"/>
    <w:rsid w:val="00193EAB"/>
    <w:rsid w:val="001959AF"/>
    <w:rsid w:val="001971E2"/>
    <w:rsid w:val="00197F25"/>
    <w:rsid w:val="001A3CE9"/>
    <w:rsid w:val="001A4F37"/>
    <w:rsid w:val="001A7848"/>
    <w:rsid w:val="001B239B"/>
    <w:rsid w:val="001B4F68"/>
    <w:rsid w:val="001B50D5"/>
    <w:rsid w:val="001B6F43"/>
    <w:rsid w:val="001C0D12"/>
    <w:rsid w:val="001C5279"/>
    <w:rsid w:val="001C64EF"/>
    <w:rsid w:val="001C766F"/>
    <w:rsid w:val="001D00F4"/>
    <w:rsid w:val="001D0C36"/>
    <w:rsid w:val="001D252F"/>
    <w:rsid w:val="001D58BC"/>
    <w:rsid w:val="001D5B8C"/>
    <w:rsid w:val="001D6D42"/>
    <w:rsid w:val="001D772F"/>
    <w:rsid w:val="001E050C"/>
    <w:rsid w:val="001E2618"/>
    <w:rsid w:val="001E4DC2"/>
    <w:rsid w:val="001E4FC9"/>
    <w:rsid w:val="001E5DB1"/>
    <w:rsid w:val="001E6F66"/>
    <w:rsid w:val="001F0C66"/>
    <w:rsid w:val="001F0C75"/>
    <w:rsid w:val="001F1039"/>
    <w:rsid w:val="001F75E4"/>
    <w:rsid w:val="00200D93"/>
    <w:rsid w:val="002016B6"/>
    <w:rsid w:val="002034CE"/>
    <w:rsid w:val="00204672"/>
    <w:rsid w:val="00206953"/>
    <w:rsid w:val="00207C60"/>
    <w:rsid w:val="00210E0A"/>
    <w:rsid w:val="002179C9"/>
    <w:rsid w:val="002235DC"/>
    <w:rsid w:val="00226104"/>
    <w:rsid w:val="00226934"/>
    <w:rsid w:val="002303BB"/>
    <w:rsid w:val="0023051D"/>
    <w:rsid w:val="00231093"/>
    <w:rsid w:val="002325FE"/>
    <w:rsid w:val="00234B8E"/>
    <w:rsid w:val="002351B1"/>
    <w:rsid w:val="00237BD4"/>
    <w:rsid w:val="00240AC3"/>
    <w:rsid w:val="00240B91"/>
    <w:rsid w:val="002422F2"/>
    <w:rsid w:val="002448B2"/>
    <w:rsid w:val="002456EF"/>
    <w:rsid w:val="00245BA6"/>
    <w:rsid w:val="0024671B"/>
    <w:rsid w:val="00250448"/>
    <w:rsid w:val="00250917"/>
    <w:rsid w:val="00250AF5"/>
    <w:rsid w:val="00250E8D"/>
    <w:rsid w:val="0025157B"/>
    <w:rsid w:val="00253CF3"/>
    <w:rsid w:val="0025528A"/>
    <w:rsid w:val="00261DED"/>
    <w:rsid w:val="00262C47"/>
    <w:rsid w:val="00262D71"/>
    <w:rsid w:val="00265256"/>
    <w:rsid w:val="00266001"/>
    <w:rsid w:val="002667B9"/>
    <w:rsid w:val="002722EB"/>
    <w:rsid w:val="00276FF6"/>
    <w:rsid w:val="00281381"/>
    <w:rsid w:val="00284708"/>
    <w:rsid w:val="00287D59"/>
    <w:rsid w:val="00295558"/>
    <w:rsid w:val="00295D46"/>
    <w:rsid w:val="00297AAD"/>
    <w:rsid w:val="002A1068"/>
    <w:rsid w:val="002A2011"/>
    <w:rsid w:val="002A2BFC"/>
    <w:rsid w:val="002A3EB8"/>
    <w:rsid w:val="002B0179"/>
    <w:rsid w:val="002B22B9"/>
    <w:rsid w:val="002B5A25"/>
    <w:rsid w:val="002B642E"/>
    <w:rsid w:val="002B6A35"/>
    <w:rsid w:val="002B6E4E"/>
    <w:rsid w:val="002C1063"/>
    <w:rsid w:val="002C189E"/>
    <w:rsid w:val="002C31F7"/>
    <w:rsid w:val="002C48BF"/>
    <w:rsid w:val="002C5D61"/>
    <w:rsid w:val="002C6864"/>
    <w:rsid w:val="002E022E"/>
    <w:rsid w:val="002E0768"/>
    <w:rsid w:val="002E1AAA"/>
    <w:rsid w:val="002E479B"/>
    <w:rsid w:val="002E6182"/>
    <w:rsid w:val="002E77D9"/>
    <w:rsid w:val="002F002C"/>
    <w:rsid w:val="002F203F"/>
    <w:rsid w:val="002F222C"/>
    <w:rsid w:val="002F33B2"/>
    <w:rsid w:val="00300421"/>
    <w:rsid w:val="00300F0A"/>
    <w:rsid w:val="003023C3"/>
    <w:rsid w:val="00304ED0"/>
    <w:rsid w:val="0030792E"/>
    <w:rsid w:val="003152D4"/>
    <w:rsid w:val="00316D12"/>
    <w:rsid w:val="00317A69"/>
    <w:rsid w:val="00321AD5"/>
    <w:rsid w:val="0032433E"/>
    <w:rsid w:val="00325118"/>
    <w:rsid w:val="00327A5C"/>
    <w:rsid w:val="003306EF"/>
    <w:rsid w:val="00332575"/>
    <w:rsid w:val="003329B8"/>
    <w:rsid w:val="00333286"/>
    <w:rsid w:val="003335A3"/>
    <w:rsid w:val="00333CC2"/>
    <w:rsid w:val="00335799"/>
    <w:rsid w:val="00340EF7"/>
    <w:rsid w:val="0034233D"/>
    <w:rsid w:val="003445D4"/>
    <w:rsid w:val="00345458"/>
    <w:rsid w:val="00353B62"/>
    <w:rsid w:val="00356B2C"/>
    <w:rsid w:val="003629A7"/>
    <w:rsid w:val="00363831"/>
    <w:rsid w:val="00363D18"/>
    <w:rsid w:val="00364472"/>
    <w:rsid w:val="00365621"/>
    <w:rsid w:val="00365EDB"/>
    <w:rsid w:val="00366E14"/>
    <w:rsid w:val="00366E46"/>
    <w:rsid w:val="00371003"/>
    <w:rsid w:val="0037236E"/>
    <w:rsid w:val="00373233"/>
    <w:rsid w:val="00374361"/>
    <w:rsid w:val="00375258"/>
    <w:rsid w:val="00375B9E"/>
    <w:rsid w:val="0037715B"/>
    <w:rsid w:val="00385549"/>
    <w:rsid w:val="00386D1C"/>
    <w:rsid w:val="00393677"/>
    <w:rsid w:val="00393F41"/>
    <w:rsid w:val="003947E2"/>
    <w:rsid w:val="0039514D"/>
    <w:rsid w:val="003953DE"/>
    <w:rsid w:val="00396CA6"/>
    <w:rsid w:val="003A35E6"/>
    <w:rsid w:val="003A3E18"/>
    <w:rsid w:val="003A4783"/>
    <w:rsid w:val="003A5B49"/>
    <w:rsid w:val="003B01A9"/>
    <w:rsid w:val="003B27CD"/>
    <w:rsid w:val="003B3250"/>
    <w:rsid w:val="003B327F"/>
    <w:rsid w:val="003B5D5C"/>
    <w:rsid w:val="003B6559"/>
    <w:rsid w:val="003C2E39"/>
    <w:rsid w:val="003C64C7"/>
    <w:rsid w:val="003D47BA"/>
    <w:rsid w:val="003D4F46"/>
    <w:rsid w:val="003D5014"/>
    <w:rsid w:val="003D58B4"/>
    <w:rsid w:val="003D6121"/>
    <w:rsid w:val="003D7DAF"/>
    <w:rsid w:val="003E1093"/>
    <w:rsid w:val="003E2A02"/>
    <w:rsid w:val="003E3269"/>
    <w:rsid w:val="003E4BBF"/>
    <w:rsid w:val="003E62B4"/>
    <w:rsid w:val="003E6305"/>
    <w:rsid w:val="003E7C6E"/>
    <w:rsid w:val="003F409C"/>
    <w:rsid w:val="003F49E2"/>
    <w:rsid w:val="003F5A04"/>
    <w:rsid w:val="00400494"/>
    <w:rsid w:val="00400746"/>
    <w:rsid w:val="0040228A"/>
    <w:rsid w:val="00402B8C"/>
    <w:rsid w:val="00403123"/>
    <w:rsid w:val="00403CC2"/>
    <w:rsid w:val="00404092"/>
    <w:rsid w:val="0040527C"/>
    <w:rsid w:val="0040586E"/>
    <w:rsid w:val="00406A50"/>
    <w:rsid w:val="00407B7F"/>
    <w:rsid w:val="0041039E"/>
    <w:rsid w:val="00410CE2"/>
    <w:rsid w:val="0041100A"/>
    <w:rsid w:val="004140A1"/>
    <w:rsid w:val="004141ED"/>
    <w:rsid w:val="0041702D"/>
    <w:rsid w:val="0042074A"/>
    <w:rsid w:val="00420847"/>
    <w:rsid w:val="004249A0"/>
    <w:rsid w:val="0042682E"/>
    <w:rsid w:val="00426BF4"/>
    <w:rsid w:val="004272CD"/>
    <w:rsid w:val="00430089"/>
    <w:rsid w:val="004305E9"/>
    <w:rsid w:val="00431AE3"/>
    <w:rsid w:val="00431EF2"/>
    <w:rsid w:val="00432D68"/>
    <w:rsid w:val="00442A1C"/>
    <w:rsid w:val="00442F34"/>
    <w:rsid w:val="004445FE"/>
    <w:rsid w:val="004512FD"/>
    <w:rsid w:val="00451C3A"/>
    <w:rsid w:val="00453786"/>
    <w:rsid w:val="004547B7"/>
    <w:rsid w:val="00460990"/>
    <w:rsid w:val="0046115A"/>
    <w:rsid w:val="00462732"/>
    <w:rsid w:val="00462953"/>
    <w:rsid w:val="004640F3"/>
    <w:rsid w:val="004658C2"/>
    <w:rsid w:val="0047156C"/>
    <w:rsid w:val="00472450"/>
    <w:rsid w:val="00472D90"/>
    <w:rsid w:val="004734D8"/>
    <w:rsid w:val="004748CA"/>
    <w:rsid w:val="00475158"/>
    <w:rsid w:val="00475B98"/>
    <w:rsid w:val="00480737"/>
    <w:rsid w:val="0048181E"/>
    <w:rsid w:val="00482683"/>
    <w:rsid w:val="00482DCA"/>
    <w:rsid w:val="00485025"/>
    <w:rsid w:val="00487BB8"/>
    <w:rsid w:val="004918F9"/>
    <w:rsid w:val="00495214"/>
    <w:rsid w:val="004A09F9"/>
    <w:rsid w:val="004A0ADF"/>
    <w:rsid w:val="004A0E13"/>
    <w:rsid w:val="004A3555"/>
    <w:rsid w:val="004A5244"/>
    <w:rsid w:val="004A6303"/>
    <w:rsid w:val="004A7E13"/>
    <w:rsid w:val="004B0412"/>
    <w:rsid w:val="004B4A6F"/>
    <w:rsid w:val="004B7475"/>
    <w:rsid w:val="004B7D67"/>
    <w:rsid w:val="004C0B27"/>
    <w:rsid w:val="004C44F5"/>
    <w:rsid w:val="004C5FB5"/>
    <w:rsid w:val="004C6ECD"/>
    <w:rsid w:val="004C7F61"/>
    <w:rsid w:val="004D070B"/>
    <w:rsid w:val="004D239A"/>
    <w:rsid w:val="004D2DAD"/>
    <w:rsid w:val="004D4956"/>
    <w:rsid w:val="004D59C9"/>
    <w:rsid w:val="004D5E59"/>
    <w:rsid w:val="004D65D3"/>
    <w:rsid w:val="004E0168"/>
    <w:rsid w:val="004E2A99"/>
    <w:rsid w:val="004E2D8A"/>
    <w:rsid w:val="004E349D"/>
    <w:rsid w:val="004E515A"/>
    <w:rsid w:val="004E5E04"/>
    <w:rsid w:val="004E5E86"/>
    <w:rsid w:val="004E7FF5"/>
    <w:rsid w:val="004F001A"/>
    <w:rsid w:val="004F0674"/>
    <w:rsid w:val="004F1FD5"/>
    <w:rsid w:val="004F2B98"/>
    <w:rsid w:val="004F3FE3"/>
    <w:rsid w:val="004F4263"/>
    <w:rsid w:val="004F5D21"/>
    <w:rsid w:val="004F7996"/>
    <w:rsid w:val="005011F2"/>
    <w:rsid w:val="00506BBE"/>
    <w:rsid w:val="00507206"/>
    <w:rsid w:val="0051276E"/>
    <w:rsid w:val="00512BD9"/>
    <w:rsid w:val="005161E9"/>
    <w:rsid w:val="00516299"/>
    <w:rsid w:val="005165CB"/>
    <w:rsid w:val="005166AB"/>
    <w:rsid w:val="00520037"/>
    <w:rsid w:val="00520458"/>
    <w:rsid w:val="00525B32"/>
    <w:rsid w:val="00531FA5"/>
    <w:rsid w:val="00532242"/>
    <w:rsid w:val="00532BF6"/>
    <w:rsid w:val="00534DD3"/>
    <w:rsid w:val="0053644B"/>
    <w:rsid w:val="00542524"/>
    <w:rsid w:val="00542C61"/>
    <w:rsid w:val="005462C8"/>
    <w:rsid w:val="00546AB6"/>
    <w:rsid w:val="00552885"/>
    <w:rsid w:val="00552D05"/>
    <w:rsid w:val="005543A8"/>
    <w:rsid w:val="0055535E"/>
    <w:rsid w:val="00561440"/>
    <w:rsid w:val="005650BF"/>
    <w:rsid w:val="00566565"/>
    <w:rsid w:val="005672EC"/>
    <w:rsid w:val="005748DC"/>
    <w:rsid w:val="00574AE6"/>
    <w:rsid w:val="00575C66"/>
    <w:rsid w:val="005771C5"/>
    <w:rsid w:val="005831D1"/>
    <w:rsid w:val="00583548"/>
    <w:rsid w:val="00584E86"/>
    <w:rsid w:val="005857F4"/>
    <w:rsid w:val="00587B54"/>
    <w:rsid w:val="00590315"/>
    <w:rsid w:val="005944D0"/>
    <w:rsid w:val="005A023D"/>
    <w:rsid w:val="005A0713"/>
    <w:rsid w:val="005A07D8"/>
    <w:rsid w:val="005A1BC0"/>
    <w:rsid w:val="005A1C73"/>
    <w:rsid w:val="005A29A3"/>
    <w:rsid w:val="005A2BB6"/>
    <w:rsid w:val="005A3457"/>
    <w:rsid w:val="005A3FCC"/>
    <w:rsid w:val="005A5B19"/>
    <w:rsid w:val="005A677F"/>
    <w:rsid w:val="005A69CC"/>
    <w:rsid w:val="005A750B"/>
    <w:rsid w:val="005B0BF3"/>
    <w:rsid w:val="005B1431"/>
    <w:rsid w:val="005B2CE5"/>
    <w:rsid w:val="005B3193"/>
    <w:rsid w:val="005B31F9"/>
    <w:rsid w:val="005B6836"/>
    <w:rsid w:val="005C1762"/>
    <w:rsid w:val="005C2D1C"/>
    <w:rsid w:val="005C3C7E"/>
    <w:rsid w:val="005C4CA3"/>
    <w:rsid w:val="005C58CD"/>
    <w:rsid w:val="005C6C96"/>
    <w:rsid w:val="005C6D2A"/>
    <w:rsid w:val="005D22E9"/>
    <w:rsid w:val="005D2A21"/>
    <w:rsid w:val="005E1C30"/>
    <w:rsid w:val="005E36C1"/>
    <w:rsid w:val="005E38A3"/>
    <w:rsid w:val="005E3A96"/>
    <w:rsid w:val="005E5E63"/>
    <w:rsid w:val="005E6D8B"/>
    <w:rsid w:val="005E7D45"/>
    <w:rsid w:val="005E7DCE"/>
    <w:rsid w:val="005F014C"/>
    <w:rsid w:val="005F2949"/>
    <w:rsid w:val="005F2E21"/>
    <w:rsid w:val="005F46E9"/>
    <w:rsid w:val="005F4B8F"/>
    <w:rsid w:val="005F624B"/>
    <w:rsid w:val="0060611E"/>
    <w:rsid w:val="00606F3E"/>
    <w:rsid w:val="00607A97"/>
    <w:rsid w:val="00607F41"/>
    <w:rsid w:val="00611A2C"/>
    <w:rsid w:val="00611B60"/>
    <w:rsid w:val="00612744"/>
    <w:rsid w:val="00612C34"/>
    <w:rsid w:val="0061406E"/>
    <w:rsid w:val="006166D8"/>
    <w:rsid w:val="00617B9E"/>
    <w:rsid w:val="00623D69"/>
    <w:rsid w:val="00625243"/>
    <w:rsid w:val="006264AC"/>
    <w:rsid w:val="00627BFD"/>
    <w:rsid w:val="006305EB"/>
    <w:rsid w:val="006308AE"/>
    <w:rsid w:val="00630AA9"/>
    <w:rsid w:val="00630BD9"/>
    <w:rsid w:val="00632658"/>
    <w:rsid w:val="00634002"/>
    <w:rsid w:val="00637C83"/>
    <w:rsid w:val="006408B5"/>
    <w:rsid w:val="006409E7"/>
    <w:rsid w:val="006413B6"/>
    <w:rsid w:val="006422C3"/>
    <w:rsid w:val="0064445F"/>
    <w:rsid w:val="00645F08"/>
    <w:rsid w:val="0064668D"/>
    <w:rsid w:val="00647342"/>
    <w:rsid w:val="00650540"/>
    <w:rsid w:val="006525E5"/>
    <w:rsid w:val="00652CA3"/>
    <w:rsid w:val="0065352A"/>
    <w:rsid w:val="00653E39"/>
    <w:rsid w:val="00654CB5"/>
    <w:rsid w:val="00654FB6"/>
    <w:rsid w:val="006576F6"/>
    <w:rsid w:val="00660413"/>
    <w:rsid w:val="00660730"/>
    <w:rsid w:val="0066238E"/>
    <w:rsid w:val="006628DA"/>
    <w:rsid w:val="00664FF5"/>
    <w:rsid w:val="00672821"/>
    <w:rsid w:val="00673CD9"/>
    <w:rsid w:val="0067419D"/>
    <w:rsid w:val="00675439"/>
    <w:rsid w:val="006774BA"/>
    <w:rsid w:val="006823F1"/>
    <w:rsid w:val="0068275C"/>
    <w:rsid w:val="00682F82"/>
    <w:rsid w:val="006836A9"/>
    <w:rsid w:val="00686FAA"/>
    <w:rsid w:val="006A113E"/>
    <w:rsid w:val="006A15E9"/>
    <w:rsid w:val="006A3DB4"/>
    <w:rsid w:val="006A6E86"/>
    <w:rsid w:val="006B0726"/>
    <w:rsid w:val="006B1A39"/>
    <w:rsid w:val="006B22FF"/>
    <w:rsid w:val="006B57A7"/>
    <w:rsid w:val="006C05CA"/>
    <w:rsid w:val="006C166B"/>
    <w:rsid w:val="006C594B"/>
    <w:rsid w:val="006C6449"/>
    <w:rsid w:val="006D2978"/>
    <w:rsid w:val="006D2BE3"/>
    <w:rsid w:val="006D3F0F"/>
    <w:rsid w:val="006D4CF5"/>
    <w:rsid w:val="006D4F57"/>
    <w:rsid w:val="006D6FF0"/>
    <w:rsid w:val="006D7EB0"/>
    <w:rsid w:val="006E165C"/>
    <w:rsid w:val="006E2316"/>
    <w:rsid w:val="006E3F53"/>
    <w:rsid w:val="006E532B"/>
    <w:rsid w:val="006E7BEF"/>
    <w:rsid w:val="006E7CC6"/>
    <w:rsid w:val="006F02E5"/>
    <w:rsid w:val="006F4C40"/>
    <w:rsid w:val="00700D72"/>
    <w:rsid w:val="00702F66"/>
    <w:rsid w:val="00704C6F"/>
    <w:rsid w:val="007110BF"/>
    <w:rsid w:val="00717D97"/>
    <w:rsid w:val="0072343A"/>
    <w:rsid w:val="0072549E"/>
    <w:rsid w:val="00726283"/>
    <w:rsid w:val="00732473"/>
    <w:rsid w:val="007377A6"/>
    <w:rsid w:val="00740DC7"/>
    <w:rsid w:val="00740EC1"/>
    <w:rsid w:val="007422F0"/>
    <w:rsid w:val="007433DA"/>
    <w:rsid w:val="00743B67"/>
    <w:rsid w:val="00744970"/>
    <w:rsid w:val="007449F7"/>
    <w:rsid w:val="007467C5"/>
    <w:rsid w:val="00746D90"/>
    <w:rsid w:val="007479CB"/>
    <w:rsid w:val="007479EF"/>
    <w:rsid w:val="007511BD"/>
    <w:rsid w:val="00751507"/>
    <w:rsid w:val="00752AA5"/>
    <w:rsid w:val="0075326B"/>
    <w:rsid w:val="00754D66"/>
    <w:rsid w:val="00755A42"/>
    <w:rsid w:val="00761E0C"/>
    <w:rsid w:val="00764BAA"/>
    <w:rsid w:val="00765964"/>
    <w:rsid w:val="00765A2C"/>
    <w:rsid w:val="00765EC5"/>
    <w:rsid w:val="00770519"/>
    <w:rsid w:val="007713DF"/>
    <w:rsid w:val="00772B81"/>
    <w:rsid w:val="007737A7"/>
    <w:rsid w:val="00774AD5"/>
    <w:rsid w:val="00776D13"/>
    <w:rsid w:val="00780815"/>
    <w:rsid w:val="00780E39"/>
    <w:rsid w:val="00782347"/>
    <w:rsid w:val="00782B2A"/>
    <w:rsid w:val="00787494"/>
    <w:rsid w:val="0079075A"/>
    <w:rsid w:val="0079248C"/>
    <w:rsid w:val="00792740"/>
    <w:rsid w:val="0079521C"/>
    <w:rsid w:val="00795A5A"/>
    <w:rsid w:val="00795D92"/>
    <w:rsid w:val="007A0796"/>
    <w:rsid w:val="007A49FA"/>
    <w:rsid w:val="007B19D6"/>
    <w:rsid w:val="007B1B9B"/>
    <w:rsid w:val="007B618D"/>
    <w:rsid w:val="007B6825"/>
    <w:rsid w:val="007B7B6E"/>
    <w:rsid w:val="007C22C7"/>
    <w:rsid w:val="007C4016"/>
    <w:rsid w:val="007C79E8"/>
    <w:rsid w:val="007D3575"/>
    <w:rsid w:val="007D645E"/>
    <w:rsid w:val="007D79AC"/>
    <w:rsid w:val="007D7AE5"/>
    <w:rsid w:val="007E092B"/>
    <w:rsid w:val="007E737A"/>
    <w:rsid w:val="007E79BF"/>
    <w:rsid w:val="007E7F14"/>
    <w:rsid w:val="007F00E8"/>
    <w:rsid w:val="007F047F"/>
    <w:rsid w:val="007F08F0"/>
    <w:rsid w:val="007F1BEB"/>
    <w:rsid w:val="007F37B0"/>
    <w:rsid w:val="007F3CEE"/>
    <w:rsid w:val="007F6BC5"/>
    <w:rsid w:val="007F79BE"/>
    <w:rsid w:val="007F7C17"/>
    <w:rsid w:val="0080386B"/>
    <w:rsid w:val="00804787"/>
    <w:rsid w:val="0080675F"/>
    <w:rsid w:val="00810C7E"/>
    <w:rsid w:val="00811B29"/>
    <w:rsid w:val="008120EE"/>
    <w:rsid w:val="00815FBD"/>
    <w:rsid w:val="008205CA"/>
    <w:rsid w:val="00821631"/>
    <w:rsid w:val="00822332"/>
    <w:rsid w:val="00822473"/>
    <w:rsid w:val="00826471"/>
    <w:rsid w:val="00827926"/>
    <w:rsid w:val="00827D7F"/>
    <w:rsid w:val="00830894"/>
    <w:rsid w:val="00831675"/>
    <w:rsid w:val="00832A5E"/>
    <w:rsid w:val="00832CDF"/>
    <w:rsid w:val="00833B04"/>
    <w:rsid w:val="00834D95"/>
    <w:rsid w:val="0083783D"/>
    <w:rsid w:val="0083784A"/>
    <w:rsid w:val="00841E74"/>
    <w:rsid w:val="0084217C"/>
    <w:rsid w:val="008431C9"/>
    <w:rsid w:val="008431EF"/>
    <w:rsid w:val="00845A99"/>
    <w:rsid w:val="008461A2"/>
    <w:rsid w:val="00850118"/>
    <w:rsid w:val="00850865"/>
    <w:rsid w:val="00852B06"/>
    <w:rsid w:val="00852B90"/>
    <w:rsid w:val="008530A4"/>
    <w:rsid w:val="0085384C"/>
    <w:rsid w:val="0085425E"/>
    <w:rsid w:val="00854B9A"/>
    <w:rsid w:val="00855856"/>
    <w:rsid w:val="00856F50"/>
    <w:rsid w:val="0085783B"/>
    <w:rsid w:val="00862869"/>
    <w:rsid w:val="0086477D"/>
    <w:rsid w:val="00865FB4"/>
    <w:rsid w:val="00867196"/>
    <w:rsid w:val="008674FB"/>
    <w:rsid w:val="00874C2B"/>
    <w:rsid w:val="00875C3D"/>
    <w:rsid w:val="00882843"/>
    <w:rsid w:val="00884201"/>
    <w:rsid w:val="008843DF"/>
    <w:rsid w:val="00887215"/>
    <w:rsid w:val="00887435"/>
    <w:rsid w:val="008947C2"/>
    <w:rsid w:val="008949AF"/>
    <w:rsid w:val="008975F6"/>
    <w:rsid w:val="00897F3C"/>
    <w:rsid w:val="008A104D"/>
    <w:rsid w:val="008A109E"/>
    <w:rsid w:val="008A1B53"/>
    <w:rsid w:val="008A2160"/>
    <w:rsid w:val="008A2750"/>
    <w:rsid w:val="008A3298"/>
    <w:rsid w:val="008A62E0"/>
    <w:rsid w:val="008A6E19"/>
    <w:rsid w:val="008A6FBC"/>
    <w:rsid w:val="008B27A7"/>
    <w:rsid w:val="008B31E2"/>
    <w:rsid w:val="008B57A7"/>
    <w:rsid w:val="008B6C83"/>
    <w:rsid w:val="008C03BA"/>
    <w:rsid w:val="008C05BC"/>
    <w:rsid w:val="008C0A24"/>
    <w:rsid w:val="008C15B5"/>
    <w:rsid w:val="008C1765"/>
    <w:rsid w:val="008C1832"/>
    <w:rsid w:val="008C2663"/>
    <w:rsid w:val="008C4BC0"/>
    <w:rsid w:val="008C5DED"/>
    <w:rsid w:val="008D10AF"/>
    <w:rsid w:val="008D6615"/>
    <w:rsid w:val="008D6A19"/>
    <w:rsid w:val="008E0EAC"/>
    <w:rsid w:val="008E1454"/>
    <w:rsid w:val="008E23DE"/>
    <w:rsid w:val="008E2E05"/>
    <w:rsid w:val="008F0596"/>
    <w:rsid w:val="008F1F84"/>
    <w:rsid w:val="008F42F7"/>
    <w:rsid w:val="008F5A5B"/>
    <w:rsid w:val="008F6919"/>
    <w:rsid w:val="008F77D8"/>
    <w:rsid w:val="00910F9E"/>
    <w:rsid w:val="00915A0E"/>
    <w:rsid w:val="00920593"/>
    <w:rsid w:val="00922CF7"/>
    <w:rsid w:val="00926D8F"/>
    <w:rsid w:val="00927396"/>
    <w:rsid w:val="009301EF"/>
    <w:rsid w:val="009351DD"/>
    <w:rsid w:val="00935F1D"/>
    <w:rsid w:val="00937BF0"/>
    <w:rsid w:val="009434D7"/>
    <w:rsid w:val="00944746"/>
    <w:rsid w:val="00945672"/>
    <w:rsid w:val="00950CFB"/>
    <w:rsid w:val="009522D5"/>
    <w:rsid w:val="00961533"/>
    <w:rsid w:val="00961814"/>
    <w:rsid w:val="00962D0A"/>
    <w:rsid w:val="00963B24"/>
    <w:rsid w:val="00970081"/>
    <w:rsid w:val="0097156B"/>
    <w:rsid w:val="00972233"/>
    <w:rsid w:val="00972491"/>
    <w:rsid w:val="00973104"/>
    <w:rsid w:val="00976517"/>
    <w:rsid w:val="00977EFD"/>
    <w:rsid w:val="00980F5D"/>
    <w:rsid w:val="00981FC8"/>
    <w:rsid w:val="009826D6"/>
    <w:rsid w:val="00984EB3"/>
    <w:rsid w:val="009862D3"/>
    <w:rsid w:val="0099373E"/>
    <w:rsid w:val="00995054"/>
    <w:rsid w:val="009A1B4B"/>
    <w:rsid w:val="009A1D45"/>
    <w:rsid w:val="009A6683"/>
    <w:rsid w:val="009A72B7"/>
    <w:rsid w:val="009B029D"/>
    <w:rsid w:val="009B1165"/>
    <w:rsid w:val="009B1842"/>
    <w:rsid w:val="009B2EA1"/>
    <w:rsid w:val="009B3C6E"/>
    <w:rsid w:val="009B53C5"/>
    <w:rsid w:val="009C1687"/>
    <w:rsid w:val="009C189A"/>
    <w:rsid w:val="009C1903"/>
    <w:rsid w:val="009C1C2C"/>
    <w:rsid w:val="009C1D33"/>
    <w:rsid w:val="009C365F"/>
    <w:rsid w:val="009C4146"/>
    <w:rsid w:val="009C44D3"/>
    <w:rsid w:val="009D03E0"/>
    <w:rsid w:val="009D08B1"/>
    <w:rsid w:val="009D0C96"/>
    <w:rsid w:val="009D5A15"/>
    <w:rsid w:val="009D70D9"/>
    <w:rsid w:val="009D7881"/>
    <w:rsid w:val="009E1153"/>
    <w:rsid w:val="009E1571"/>
    <w:rsid w:val="009E24AE"/>
    <w:rsid w:val="009E25FD"/>
    <w:rsid w:val="009E69A0"/>
    <w:rsid w:val="009F04EE"/>
    <w:rsid w:val="009F0898"/>
    <w:rsid w:val="009F12CB"/>
    <w:rsid w:val="009F153F"/>
    <w:rsid w:val="009F49A9"/>
    <w:rsid w:val="009F59F5"/>
    <w:rsid w:val="009F76A9"/>
    <w:rsid w:val="00A00AA1"/>
    <w:rsid w:val="00A03F71"/>
    <w:rsid w:val="00A03F8D"/>
    <w:rsid w:val="00A041B4"/>
    <w:rsid w:val="00A0600E"/>
    <w:rsid w:val="00A07A03"/>
    <w:rsid w:val="00A16293"/>
    <w:rsid w:val="00A17B41"/>
    <w:rsid w:val="00A2043C"/>
    <w:rsid w:val="00A206C2"/>
    <w:rsid w:val="00A21FBC"/>
    <w:rsid w:val="00A22068"/>
    <w:rsid w:val="00A24F4C"/>
    <w:rsid w:val="00A26BDC"/>
    <w:rsid w:val="00A26C8F"/>
    <w:rsid w:val="00A27B48"/>
    <w:rsid w:val="00A30A61"/>
    <w:rsid w:val="00A3117E"/>
    <w:rsid w:val="00A3249B"/>
    <w:rsid w:val="00A33C94"/>
    <w:rsid w:val="00A34AA1"/>
    <w:rsid w:val="00A350B6"/>
    <w:rsid w:val="00A37C8B"/>
    <w:rsid w:val="00A37E09"/>
    <w:rsid w:val="00A40B77"/>
    <w:rsid w:val="00A42323"/>
    <w:rsid w:val="00A46224"/>
    <w:rsid w:val="00A51F89"/>
    <w:rsid w:val="00A53E06"/>
    <w:rsid w:val="00A54F1C"/>
    <w:rsid w:val="00A57378"/>
    <w:rsid w:val="00A57FAE"/>
    <w:rsid w:val="00A60414"/>
    <w:rsid w:val="00A604B6"/>
    <w:rsid w:val="00A6146E"/>
    <w:rsid w:val="00A64501"/>
    <w:rsid w:val="00A64AD5"/>
    <w:rsid w:val="00A6513F"/>
    <w:rsid w:val="00A713CA"/>
    <w:rsid w:val="00A8253F"/>
    <w:rsid w:val="00A82DE4"/>
    <w:rsid w:val="00A82E8B"/>
    <w:rsid w:val="00A83571"/>
    <w:rsid w:val="00A84DD9"/>
    <w:rsid w:val="00A85444"/>
    <w:rsid w:val="00A8737C"/>
    <w:rsid w:val="00A87B08"/>
    <w:rsid w:val="00A9261A"/>
    <w:rsid w:val="00A9736A"/>
    <w:rsid w:val="00AA4CA7"/>
    <w:rsid w:val="00AA6BBF"/>
    <w:rsid w:val="00AB024F"/>
    <w:rsid w:val="00AB0C32"/>
    <w:rsid w:val="00AB4236"/>
    <w:rsid w:val="00AB48CE"/>
    <w:rsid w:val="00AB4E7F"/>
    <w:rsid w:val="00AB527F"/>
    <w:rsid w:val="00AB5647"/>
    <w:rsid w:val="00AB5DE0"/>
    <w:rsid w:val="00AC21A3"/>
    <w:rsid w:val="00AC3ACC"/>
    <w:rsid w:val="00AC5824"/>
    <w:rsid w:val="00AD0EAA"/>
    <w:rsid w:val="00AD1155"/>
    <w:rsid w:val="00AD4CCC"/>
    <w:rsid w:val="00AD6D1B"/>
    <w:rsid w:val="00AE1F66"/>
    <w:rsid w:val="00AE4DAD"/>
    <w:rsid w:val="00AE60A7"/>
    <w:rsid w:val="00AE6E31"/>
    <w:rsid w:val="00AE73D9"/>
    <w:rsid w:val="00AF0FE8"/>
    <w:rsid w:val="00AF2E01"/>
    <w:rsid w:val="00AF448C"/>
    <w:rsid w:val="00AF55ED"/>
    <w:rsid w:val="00AF5944"/>
    <w:rsid w:val="00B0150A"/>
    <w:rsid w:val="00B01C8D"/>
    <w:rsid w:val="00B0325A"/>
    <w:rsid w:val="00B05986"/>
    <w:rsid w:val="00B071DF"/>
    <w:rsid w:val="00B07861"/>
    <w:rsid w:val="00B11324"/>
    <w:rsid w:val="00B116A1"/>
    <w:rsid w:val="00B116D1"/>
    <w:rsid w:val="00B1318C"/>
    <w:rsid w:val="00B1390E"/>
    <w:rsid w:val="00B14532"/>
    <w:rsid w:val="00B21AD6"/>
    <w:rsid w:val="00B22FBC"/>
    <w:rsid w:val="00B26F01"/>
    <w:rsid w:val="00B27339"/>
    <w:rsid w:val="00B27A81"/>
    <w:rsid w:val="00B27A90"/>
    <w:rsid w:val="00B27CAB"/>
    <w:rsid w:val="00B27CEC"/>
    <w:rsid w:val="00B31054"/>
    <w:rsid w:val="00B319F1"/>
    <w:rsid w:val="00B31AF9"/>
    <w:rsid w:val="00B33575"/>
    <w:rsid w:val="00B35A18"/>
    <w:rsid w:val="00B36037"/>
    <w:rsid w:val="00B37381"/>
    <w:rsid w:val="00B4196A"/>
    <w:rsid w:val="00B47924"/>
    <w:rsid w:val="00B47936"/>
    <w:rsid w:val="00B51FF1"/>
    <w:rsid w:val="00B54B26"/>
    <w:rsid w:val="00B57582"/>
    <w:rsid w:val="00B6490E"/>
    <w:rsid w:val="00B659C1"/>
    <w:rsid w:val="00B66091"/>
    <w:rsid w:val="00B70C53"/>
    <w:rsid w:val="00B71005"/>
    <w:rsid w:val="00B74053"/>
    <w:rsid w:val="00B7781E"/>
    <w:rsid w:val="00B77E3E"/>
    <w:rsid w:val="00B814F7"/>
    <w:rsid w:val="00B81C6A"/>
    <w:rsid w:val="00B82902"/>
    <w:rsid w:val="00B845E8"/>
    <w:rsid w:val="00B84F0A"/>
    <w:rsid w:val="00B91D06"/>
    <w:rsid w:val="00B926E8"/>
    <w:rsid w:val="00B932A1"/>
    <w:rsid w:val="00B93520"/>
    <w:rsid w:val="00B959A5"/>
    <w:rsid w:val="00B95E66"/>
    <w:rsid w:val="00B961F9"/>
    <w:rsid w:val="00B9672B"/>
    <w:rsid w:val="00B97462"/>
    <w:rsid w:val="00BA05D3"/>
    <w:rsid w:val="00BA1533"/>
    <w:rsid w:val="00BA16C8"/>
    <w:rsid w:val="00BA2198"/>
    <w:rsid w:val="00BA301C"/>
    <w:rsid w:val="00BA6528"/>
    <w:rsid w:val="00BA69CE"/>
    <w:rsid w:val="00BA6C84"/>
    <w:rsid w:val="00BA755A"/>
    <w:rsid w:val="00BB045E"/>
    <w:rsid w:val="00BB0CC1"/>
    <w:rsid w:val="00BB0E06"/>
    <w:rsid w:val="00BB1B37"/>
    <w:rsid w:val="00BB3410"/>
    <w:rsid w:val="00BB44AC"/>
    <w:rsid w:val="00BB6EE2"/>
    <w:rsid w:val="00BC594D"/>
    <w:rsid w:val="00BD096D"/>
    <w:rsid w:val="00BD18DD"/>
    <w:rsid w:val="00BD1AB1"/>
    <w:rsid w:val="00BD1E22"/>
    <w:rsid w:val="00BD1FE2"/>
    <w:rsid w:val="00BD514A"/>
    <w:rsid w:val="00BD5FC4"/>
    <w:rsid w:val="00BD6644"/>
    <w:rsid w:val="00BD6757"/>
    <w:rsid w:val="00BD6CFF"/>
    <w:rsid w:val="00BD7AE3"/>
    <w:rsid w:val="00BE1130"/>
    <w:rsid w:val="00BE2436"/>
    <w:rsid w:val="00BE3957"/>
    <w:rsid w:val="00BE507D"/>
    <w:rsid w:val="00BE73E4"/>
    <w:rsid w:val="00BF00E2"/>
    <w:rsid w:val="00BF0E7E"/>
    <w:rsid w:val="00BF381F"/>
    <w:rsid w:val="00BF3B23"/>
    <w:rsid w:val="00BF6941"/>
    <w:rsid w:val="00BF77B5"/>
    <w:rsid w:val="00C04251"/>
    <w:rsid w:val="00C053CE"/>
    <w:rsid w:val="00C06796"/>
    <w:rsid w:val="00C06A62"/>
    <w:rsid w:val="00C11AA7"/>
    <w:rsid w:val="00C12F93"/>
    <w:rsid w:val="00C17AED"/>
    <w:rsid w:val="00C221B0"/>
    <w:rsid w:val="00C24D2C"/>
    <w:rsid w:val="00C2780B"/>
    <w:rsid w:val="00C310B8"/>
    <w:rsid w:val="00C328BE"/>
    <w:rsid w:val="00C35960"/>
    <w:rsid w:val="00C35EE0"/>
    <w:rsid w:val="00C3626D"/>
    <w:rsid w:val="00C37FB4"/>
    <w:rsid w:val="00C40A3F"/>
    <w:rsid w:val="00C4311E"/>
    <w:rsid w:val="00C46607"/>
    <w:rsid w:val="00C47D83"/>
    <w:rsid w:val="00C5338C"/>
    <w:rsid w:val="00C57034"/>
    <w:rsid w:val="00C617B9"/>
    <w:rsid w:val="00C61BC5"/>
    <w:rsid w:val="00C61F3A"/>
    <w:rsid w:val="00C62D8F"/>
    <w:rsid w:val="00C6345F"/>
    <w:rsid w:val="00C65344"/>
    <w:rsid w:val="00C65570"/>
    <w:rsid w:val="00C70D61"/>
    <w:rsid w:val="00C7138E"/>
    <w:rsid w:val="00C71EE0"/>
    <w:rsid w:val="00C726FF"/>
    <w:rsid w:val="00C77B4E"/>
    <w:rsid w:val="00C80975"/>
    <w:rsid w:val="00C841D2"/>
    <w:rsid w:val="00C84A77"/>
    <w:rsid w:val="00C854B9"/>
    <w:rsid w:val="00C86C2E"/>
    <w:rsid w:val="00C90F84"/>
    <w:rsid w:val="00C91472"/>
    <w:rsid w:val="00C93BFC"/>
    <w:rsid w:val="00C94436"/>
    <w:rsid w:val="00C944B1"/>
    <w:rsid w:val="00C94AB7"/>
    <w:rsid w:val="00C95D8C"/>
    <w:rsid w:val="00C95DC1"/>
    <w:rsid w:val="00C9789F"/>
    <w:rsid w:val="00CA0400"/>
    <w:rsid w:val="00CA1944"/>
    <w:rsid w:val="00CA381C"/>
    <w:rsid w:val="00CA3ED7"/>
    <w:rsid w:val="00CA4F63"/>
    <w:rsid w:val="00CA6566"/>
    <w:rsid w:val="00CA66B3"/>
    <w:rsid w:val="00CA6C16"/>
    <w:rsid w:val="00CA76BE"/>
    <w:rsid w:val="00CB026E"/>
    <w:rsid w:val="00CB1A2F"/>
    <w:rsid w:val="00CB21F2"/>
    <w:rsid w:val="00CB3B6C"/>
    <w:rsid w:val="00CB49D5"/>
    <w:rsid w:val="00CB5684"/>
    <w:rsid w:val="00CB5C9D"/>
    <w:rsid w:val="00CB6990"/>
    <w:rsid w:val="00CC1786"/>
    <w:rsid w:val="00CC252F"/>
    <w:rsid w:val="00CC27DB"/>
    <w:rsid w:val="00CC281F"/>
    <w:rsid w:val="00CC48DD"/>
    <w:rsid w:val="00CC4D11"/>
    <w:rsid w:val="00CC4E4C"/>
    <w:rsid w:val="00CC6718"/>
    <w:rsid w:val="00CC7FC8"/>
    <w:rsid w:val="00CD0471"/>
    <w:rsid w:val="00CD1844"/>
    <w:rsid w:val="00CD2701"/>
    <w:rsid w:val="00CD3284"/>
    <w:rsid w:val="00CD40C5"/>
    <w:rsid w:val="00CD41B9"/>
    <w:rsid w:val="00CE0C5E"/>
    <w:rsid w:val="00CE3CED"/>
    <w:rsid w:val="00CE43E7"/>
    <w:rsid w:val="00CE608F"/>
    <w:rsid w:val="00CE6D26"/>
    <w:rsid w:val="00CF0550"/>
    <w:rsid w:val="00CF15CF"/>
    <w:rsid w:val="00CF2098"/>
    <w:rsid w:val="00CF2928"/>
    <w:rsid w:val="00CF7B2A"/>
    <w:rsid w:val="00CF7E02"/>
    <w:rsid w:val="00D001B6"/>
    <w:rsid w:val="00D00583"/>
    <w:rsid w:val="00D00FB2"/>
    <w:rsid w:val="00D02166"/>
    <w:rsid w:val="00D040A9"/>
    <w:rsid w:val="00D04786"/>
    <w:rsid w:val="00D0634D"/>
    <w:rsid w:val="00D06D58"/>
    <w:rsid w:val="00D07F86"/>
    <w:rsid w:val="00D115E3"/>
    <w:rsid w:val="00D11A3E"/>
    <w:rsid w:val="00D11E81"/>
    <w:rsid w:val="00D133F7"/>
    <w:rsid w:val="00D138AB"/>
    <w:rsid w:val="00D150DE"/>
    <w:rsid w:val="00D171B1"/>
    <w:rsid w:val="00D1790C"/>
    <w:rsid w:val="00D22188"/>
    <w:rsid w:val="00D22A88"/>
    <w:rsid w:val="00D23CF5"/>
    <w:rsid w:val="00D261E8"/>
    <w:rsid w:val="00D275CA"/>
    <w:rsid w:val="00D27F68"/>
    <w:rsid w:val="00D30920"/>
    <w:rsid w:val="00D320DC"/>
    <w:rsid w:val="00D32E27"/>
    <w:rsid w:val="00D40B90"/>
    <w:rsid w:val="00D4458A"/>
    <w:rsid w:val="00D44B53"/>
    <w:rsid w:val="00D44C70"/>
    <w:rsid w:val="00D44FBA"/>
    <w:rsid w:val="00D46DE9"/>
    <w:rsid w:val="00D46F7B"/>
    <w:rsid w:val="00D5058C"/>
    <w:rsid w:val="00D50917"/>
    <w:rsid w:val="00D56D2F"/>
    <w:rsid w:val="00D57EEA"/>
    <w:rsid w:val="00D57FB7"/>
    <w:rsid w:val="00D63E65"/>
    <w:rsid w:val="00D6401F"/>
    <w:rsid w:val="00D64F38"/>
    <w:rsid w:val="00D652E8"/>
    <w:rsid w:val="00D67938"/>
    <w:rsid w:val="00D71CF9"/>
    <w:rsid w:val="00D72643"/>
    <w:rsid w:val="00D72AF2"/>
    <w:rsid w:val="00D72E43"/>
    <w:rsid w:val="00D74930"/>
    <w:rsid w:val="00D74A18"/>
    <w:rsid w:val="00D74E19"/>
    <w:rsid w:val="00D75C7E"/>
    <w:rsid w:val="00D75DA8"/>
    <w:rsid w:val="00D765FD"/>
    <w:rsid w:val="00D7703B"/>
    <w:rsid w:val="00D82D71"/>
    <w:rsid w:val="00D855F8"/>
    <w:rsid w:val="00D85DAF"/>
    <w:rsid w:val="00D877B3"/>
    <w:rsid w:val="00D91780"/>
    <w:rsid w:val="00D935CF"/>
    <w:rsid w:val="00D93D98"/>
    <w:rsid w:val="00D9446D"/>
    <w:rsid w:val="00D97020"/>
    <w:rsid w:val="00DA1899"/>
    <w:rsid w:val="00DA2C2B"/>
    <w:rsid w:val="00DA455D"/>
    <w:rsid w:val="00DA6CEE"/>
    <w:rsid w:val="00DA7708"/>
    <w:rsid w:val="00DA78CC"/>
    <w:rsid w:val="00DB0C54"/>
    <w:rsid w:val="00DB3184"/>
    <w:rsid w:val="00DB42F3"/>
    <w:rsid w:val="00DB665B"/>
    <w:rsid w:val="00DC176E"/>
    <w:rsid w:val="00DC1A87"/>
    <w:rsid w:val="00DD1714"/>
    <w:rsid w:val="00DE0EC7"/>
    <w:rsid w:val="00DE362C"/>
    <w:rsid w:val="00DE3B59"/>
    <w:rsid w:val="00DE45AD"/>
    <w:rsid w:val="00DE6058"/>
    <w:rsid w:val="00DE67A3"/>
    <w:rsid w:val="00DE708A"/>
    <w:rsid w:val="00DF4888"/>
    <w:rsid w:val="00DF66C8"/>
    <w:rsid w:val="00DF736C"/>
    <w:rsid w:val="00DF7440"/>
    <w:rsid w:val="00DF74BE"/>
    <w:rsid w:val="00E04F34"/>
    <w:rsid w:val="00E0502E"/>
    <w:rsid w:val="00E105E2"/>
    <w:rsid w:val="00E111DF"/>
    <w:rsid w:val="00E11713"/>
    <w:rsid w:val="00E11B06"/>
    <w:rsid w:val="00E13D2C"/>
    <w:rsid w:val="00E17E39"/>
    <w:rsid w:val="00E17E75"/>
    <w:rsid w:val="00E22A8F"/>
    <w:rsid w:val="00E249F5"/>
    <w:rsid w:val="00E31331"/>
    <w:rsid w:val="00E31BA7"/>
    <w:rsid w:val="00E3437E"/>
    <w:rsid w:val="00E411EA"/>
    <w:rsid w:val="00E45DF4"/>
    <w:rsid w:val="00E50775"/>
    <w:rsid w:val="00E51BC7"/>
    <w:rsid w:val="00E534A3"/>
    <w:rsid w:val="00E54D42"/>
    <w:rsid w:val="00E560A4"/>
    <w:rsid w:val="00E56B97"/>
    <w:rsid w:val="00E60E72"/>
    <w:rsid w:val="00E62FC1"/>
    <w:rsid w:val="00E6429E"/>
    <w:rsid w:val="00E70D0F"/>
    <w:rsid w:val="00E71663"/>
    <w:rsid w:val="00E72359"/>
    <w:rsid w:val="00E73CBD"/>
    <w:rsid w:val="00E741AB"/>
    <w:rsid w:val="00E753EA"/>
    <w:rsid w:val="00E76995"/>
    <w:rsid w:val="00E7715D"/>
    <w:rsid w:val="00E81343"/>
    <w:rsid w:val="00E87A97"/>
    <w:rsid w:val="00E908A6"/>
    <w:rsid w:val="00E9337D"/>
    <w:rsid w:val="00E93D6C"/>
    <w:rsid w:val="00E95A83"/>
    <w:rsid w:val="00EA0254"/>
    <w:rsid w:val="00EA14FF"/>
    <w:rsid w:val="00EA2C57"/>
    <w:rsid w:val="00EA44A4"/>
    <w:rsid w:val="00EA472B"/>
    <w:rsid w:val="00EA79CE"/>
    <w:rsid w:val="00EA7D6E"/>
    <w:rsid w:val="00EB52BF"/>
    <w:rsid w:val="00EC0E87"/>
    <w:rsid w:val="00EC1C65"/>
    <w:rsid w:val="00EC3529"/>
    <w:rsid w:val="00EC7482"/>
    <w:rsid w:val="00EC77DA"/>
    <w:rsid w:val="00ED40E1"/>
    <w:rsid w:val="00ED4114"/>
    <w:rsid w:val="00ED4D32"/>
    <w:rsid w:val="00ED76CC"/>
    <w:rsid w:val="00EE10DA"/>
    <w:rsid w:val="00EE1112"/>
    <w:rsid w:val="00EE1A41"/>
    <w:rsid w:val="00EE1E7B"/>
    <w:rsid w:val="00EE2A19"/>
    <w:rsid w:val="00EE4B9B"/>
    <w:rsid w:val="00EE799A"/>
    <w:rsid w:val="00EF346D"/>
    <w:rsid w:val="00EF4F24"/>
    <w:rsid w:val="00EF7C26"/>
    <w:rsid w:val="00F01C89"/>
    <w:rsid w:val="00F04B39"/>
    <w:rsid w:val="00F052AC"/>
    <w:rsid w:val="00F054CB"/>
    <w:rsid w:val="00F05F56"/>
    <w:rsid w:val="00F069D6"/>
    <w:rsid w:val="00F07B1B"/>
    <w:rsid w:val="00F104E7"/>
    <w:rsid w:val="00F1158D"/>
    <w:rsid w:val="00F12D75"/>
    <w:rsid w:val="00F1420E"/>
    <w:rsid w:val="00F2017B"/>
    <w:rsid w:val="00F21B31"/>
    <w:rsid w:val="00F23983"/>
    <w:rsid w:val="00F24669"/>
    <w:rsid w:val="00F24B5B"/>
    <w:rsid w:val="00F273AA"/>
    <w:rsid w:val="00F27743"/>
    <w:rsid w:val="00F27941"/>
    <w:rsid w:val="00F27A9D"/>
    <w:rsid w:val="00F30052"/>
    <w:rsid w:val="00F32035"/>
    <w:rsid w:val="00F32E27"/>
    <w:rsid w:val="00F3767B"/>
    <w:rsid w:val="00F37AC0"/>
    <w:rsid w:val="00F460C7"/>
    <w:rsid w:val="00F47591"/>
    <w:rsid w:val="00F5048D"/>
    <w:rsid w:val="00F5180F"/>
    <w:rsid w:val="00F51EDE"/>
    <w:rsid w:val="00F54211"/>
    <w:rsid w:val="00F54B67"/>
    <w:rsid w:val="00F56169"/>
    <w:rsid w:val="00F57BC9"/>
    <w:rsid w:val="00F603ED"/>
    <w:rsid w:val="00F61252"/>
    <w:rsid w:val="00F61A83"/>
    <w:rsid w:val="00F62F6F"/>
    <w:rsid w:val="00F63AF5"/>
    <w:rsid w:val="00F6615C"/>
    <w:rsid w:val="00F67077"/>
    <w:rsid w:val="00F71EAC"/>
    <w:rsid w:val="00F72EC1"/>
    <w:rsid w:val="00F758FF"/>
    <w:rsid w:val="00F75962"/>
    <w:rsid w:val="00F76143"/>
    <w:rsid w:val="00F76EBC"/>
    <w:rsid w:val="00F77F77"/>
    <w:rsid w:val="00F80587"/>
    <w:rsid w:val="00F80796"/>
    <w:rsid w:val="00F8100E"/>
    <w:rsid w:val="00F820E8"/>
    <w:rsid w:val="00F828DB"/>
    <w:rsid w:val="00F846A8"/>
    <w:rsid w:val="00F8546C"/>
    <w:rsid w:val="00F86290"/>
    <w:rsid w:val="00F90530"/>
    <w:rsid w:val="00F93602"/>
    <w:rsid w:val="00F93D76"/>
    <w:rsid w:val="00F94106"/>
    <w:rsid w:val="00F971F3"/>
    <w:rsid w:val="00F9720A"/>
    <w:rsid w:val="00FA091D"/>
    <w:rsid w:val="00FA1917"/>
    <w:rsid w:val="00FA19E8"/>
    <w:rsid w:val="00FA3A13"/>
    <w:rsid w:val="00FA7FBE"/>
    <w:rsid w:val="00FB02FD"/>
    <w:rsid w:val="00FB0693"/>
    <w:rsid w:val="00FB0C73"/>
    <w:rsid w:val="00FB2358"/>
    <w:rsid w:val="00FB27A7"/>
    <w:rsid w:val="00FB3831"/>
    <w:rsid w:val="00FB3F44"/>
    <w:rsid w:val="00FB59C7"/>
    <w:rsid w:val="00FC0226"/>
    <w:rsid w:val="00FC2F1A"/>
    <w:rsid w:val="00FC3605"/>
    <w:rsid w:val="00FC4A3E"/>
    <w:rsid w:val="00FC5A30"/>
    <w:rsid w:val="00FC68F0"/>
    <w:rsid w:val="00FD4900"/>
    <w:rsid w:val="00FD4AC8"/>
    <w:rsid w:val="00FD517C"/>
    <w:rsid w:val="00FD77B2"/>
    <w:rsid w:val="00FE16DE"/>
    <w:rsid w:val="00FE7AC9"/>
    <w:rsid w:val="00FE7E58"/>
    <w:rsid w:val="00FF039E"/>
    <w:rsid w:val="00FF09E7"/>
    <w:rsid w:val="00FF1DCA"/>
    <w:rsid w:val="00FF2096"/>
    <w:rsid w:val="00FF4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5C64"/>
  <w15:docId w15:val="{D20DA76A-B2E2-4250-80A8-E8BD5C43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4AC"/>
    <w:pPr>
      <w:spacing w:after="0" w:line="360" w:lineRule="auto"/>
      <w:ind w:firstLine="709"/>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7A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D7AE5"/>
  </w:style>
  <w:style w:type="paragraph" w:styleId="Piedepgina">
    <w:name w:val="footer"/>
    <w:basedOn w:val="Normal"/>
    <w:link w:val="PiedepginaCar"/>
    <w:uiPriority w:val="99"/>
    <w:unhideWhenUsed/>
    <w:rsid w:val="007D7A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D7AE5"/>
  </w:style>
  <w:style w:type="paragraph" w:styleId="Prrafodelista">
    <w:name w:val="List Paragraph"/>
    <w:basedOn w:val="Normal"/>
    <w:link w:val="PrrafodelistaCar"/>
    <w:uiPriority w:val="34"/>
    <w:qFormat/>
    <w:rsid w:val="00675439"/>
    <w:pPr>
      <w:ind w:left="720"/>
      <w:contextualSpacing/>
    </w:pPr>
  </w:style>
  <w:style w:type="character" w:styleId="Hipervnculo">
    <w:name w:val="Hyperlink"/>
    <w:basedOn w:val="Fuentedeprrafopredeter"/>
    <w:uiPriority w:val="99"/>
    <w:unhideWhenUsed/>
    <w:rsid w:val="00675439"/>
    <w:rPr>
      <w:color w:val="0563C1" w:themeColor="hyperlink"/>
      <w:u w:val="single"/>
    </w:rPr>
  </w:style>
  <w:style w:type="paragraph" w:styleId="NormalWeb">
    <w:name w:val="Normal (Web)"/>
    <w:basedOn w:val="Normal"/>
    <w:uiPriority w:val="99"/>
    <w:semiHidden/>
    <w:unhideWhenUsed/>
    <w:rsid w:val="00E741AB"/>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E741AB"/>
  </w:style>
  <w:style w:type="character" w:customStyle="1" w:styleId="PrrafodelistaCar">
    <w:name w:val="Párrafo de lista Car"/>
    <w:basedOn w:val="Fuentedeprrafopredeter"/>
    <w:link w:val="Prrafodelista"/>
    <w:uiPriority w:val="34"/>
    <w:rsid w:val="00E741AB"/>
  </w:style>
  <w:style w:type="paragraph" w:styleId="Textonotaalfinal">
    <w:name w:val="endnote text"/>
    <w:basedOn w:val="Normal"/>
    <w:link w:val="TextonotaalfinalCar"/>
    <w:uiPriority w:val="99"/>
    <w:semiHidden/>
    <w:unhideWhenUsed/>
    <w:rsid w:val="005A07D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5A07D8"/>
    <w:rPr>
      <w:sz w:val="20"/>
      <w:szCs w:val="20"/>
    </w:rPr>
  </w:style>
  <w:style w:type="paragraph" w:styleId="Textodeglobo">
    <w:name w:val="Balloon Text"/>
    <w:basedOn w:val="Normal"/>
    <w:link w:val="TextodegloboCar"/>
    <w:uiPriority w:val="99"/>
    <w:semiHidden/>
    <w:unhideWhenUsed/>
    <w:rsid w:val="00C3596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edadyeducacion.org/oy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edadyeducacion.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Pages>
  <Words>2411</Words>
  <Characters>13265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Miguel Angel</cp:lastModifiedBy>
  <cp:revision>25</cp:revision>
  <dcterms:created xsi:type="dcterms:W3CDTF">2018-09-22T14:26:00Z</dcterms:created>
  <dcterms:modified xsi:type="dcterms:W3CDTF">2019-10-02T11:43:00Z</dcterms:modified>
</cp:coreProperties>
</file>